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83253C" w14:textId="69C1CD7A" w:rsidR="00BD156B" w:rsidRPr="00E53644" w:rsidRDefault="00BD156B" w:rsidP="00BD156B">
      <w:pPr>
        <w:pStyle w:val="Default"/>
        <w:tabs>
          <w:tab w:val="right" w:pos="8931"/>
        </w:tabs>
        <w:rPr>
          <w:rFonts w:ascii="Times New Roman" w:hAnsi="Times New Roman" w:cs="Times New Roman"/>
        </w:rPr>
      </w:pPr>
      <w:r w:rsidRPr="00E53644">
        <w:rPr>
          <w:rFonts w:ascii="Times New Roman" w:hAnsi="Times New Roman" w:cs="Times New Roman"/>
          <w:noProof/>
          <w:lang w:eastAsia="en-GB"/>
        </w:rPr>
        <w:drawing>
          <wp:anchor distT="0" distB="0" distL="114300" distR="114300" simplePos="0" relativeHeight="251658240" behindDoc="0" locked="0" layoutInCell="1" allowOverlap="1" wp14:anchorId="6BE66792" wp14:editId="0486AC05">
            <wp:simplePos x="0" y="0"/>
            <wp:positionH relativeFrom="column">
              <wp:posOffset>4117975</wp:posOffset>
            </wp:positionH>
            <wp:positionV relativeFrom="paragraph">
              <wp:posOffset>-69215</wp:posOffset>
            </wp:positionV>
            <wp:extent cx="1538605" cy="717550"/>
            <wp:effectExtent l="0" t="0" r="4445" b="6350"/>
            <wp:wrapSquare wrapText="bothSides"/>
            <wp:docPr id="2" name="Picture 2" descr="C:\Users\Brahm\AppData\Local\Microsoft\Windows\INetCache\Content.Outlook\7GJCQIBF\GHIL-Logo-RZ-Q-EN-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rahm\AppData\Local\Microsoft\Windows\INetCache\Content.Outlook\7GJCQIBF\GHIL-Logo-RZ-Q-EN-600.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38605" cy="7175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B983563" w14:textId="4AF4B635" w:rsidR="00BD156B" w:rsidRPr="00E53644" w:rsidRDefault="00BD156B" w:rsidP="00BD156B">
      <w:r w:rsidRPr="00E53644">
        <w:rPr>
          <w:noProof/>
          <w:lang w:eastAsia="en-GB"/>
        </w:rPr>
        <w:drawing>
          <wp:inline distT="0" distB="0" distL="0" distR="0" wp14:anchorId="28FEF6E2" wp14:editId="5851F798">
            <wp:extent cx="2101850" cy="466593"/>
            <wp:effectExtent l="0" t="0" r="0" b="0"/>
            <wp:docPr id="1" name="Picture 1" descr="File:University of Southampton Logo.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University of Southampton Logo.sv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04972" cy="467286"/>
                    </a:xfrm>
                    <a:prstGeom prst="rect">
                      <a:avLst/>
                    </a:prstGeom>
                    <a:noFill/>
                    <a:ln>
                      <a:noFill/>
                    </a:ln>
                  </pic:spPr>
                </pic:pic>
              </a:graphicData>
            </a:graphic>
          </wp:inline>
        </w:drawing>
      </w:r>
    </w:p>
    <w:p w14:paraId="79450ABA" w14:textId="77777777" w:rsidR="00BD156B" w:rsidRPr="00E53644" w:rsidRDefault="00BD156B" w:rsidP="00BD156B"/>
    <w:p w14:paraId="1B83696C" w14:textId="77777777" w:rsidR="00BD156B" w:rsidRDefault="00BD156B" w:rsidP="00BD156B"/>
    <w:p w14:paraId="7DF841BA" w14:textId="77777777" w:rsidR="00E53644" w:rsidRDefault="00E53644" w:rsidP="00BD156B"/>
    <w:p w14:paraId="76D8BD83" w14:textId="00C5999F" w:rsidR="00BD156B" w:rsidRDefault="00BD156B" w:rsidP="00576342">
      <w:pPr>
        <w:jc w:val="center"/>
        <w:rPr>
          <w:b/>
          <w:bCs/>
          <w:sz w:val="32"/>
          <w:szCs w:val="32"/>
        </w:rPr>
      </w:pPr>
      <w:r w:rsidRPr="00E53644">
        <w:rPr>
          <w:b/>
          <w:bCs/>
          <w:sz w:val="32"/>
          <w:szCs w:val="32"/>
        </w:rPr>
        <w:t>Exploring the (Post-)Colonial Encounter</w:t>
      </w:r>
      <w:r w:rsidR="00576342">
        <w:rPr>
          <w:b/>
          <w:bCs/>
          <w:sz w:val="32"/>
          <w:szCs w:val="32"/>
        </w:rPr>
        <w:t>.</w:t>
      </w:r>
    </w:p>
    <w:p w14:paraId="1DA7E2F5" w14:textId="251DBC18" w:rsidR="00576342" w:rsidRPr="00E53644" w:rsidRDefault="00576342" w:rsidP="00576342">
      <w:pPr>
        <w:jc w:val="center"/>
        <w:rPr>
          <w:b/>
          <w:bCs/>
          <w:sz w:val="32"/>
          <w:szCs w:val="32"/>
        </w:rPr>
      </w:pPr>
      <w:r>
        <w:rPr>
          <w:b/>
          <w:bCs/>
          <w:sz w:val="32"/>
          <w:szCs w:val="32"/>
        </w:rPr>
        <w:t>Performance, Language, and Violence</w:t>
      </w:r>
    </w:p>
    <w:p w14:paraId="79C5F66A" w14:textId="77777777" w:rsidR="00E53644" w:rsidRDefault="00E53644" w:rsidP="00576342">
      <w:pPr>
        <w:jc w:val="center"/>
        <w:rPr>
          <w:b/>
          <w:bCs/>
          <w:sz w:val="22"/>
          <w:szCs w:val="22"/>
        </w:rPr>
      </w:pPr>
    </w:p>
    <w:p w14:paraId="144F745D" w14:textId="77777777" w:rsidR="00576342" w:rsidRDefault="00576342" w:rsidP="00576342">
      <w:pPr>
        <w:jc w:val="center"/>
        <w:rPr>
          <w:b/>
          <w:color w:val="000000"/>
        </w:rPr>
      </w:pPr>
    </w:p>
    <w:p w14:paraId="4D67E161" w14:textId="7E9BF48A" w:rsidR="00E53644" w:rsidRPr="00E53644" w:rsidRDefault="00576342" w:rsidP="00576342">
      <w:pPr>
        <w:jc w:val="center"/>
        <w:rPr>
          <w:b/>
          <w:color w:val="000000"/>
        </w:rPr>
      </w:pPr>
      <w:r>
        <w:rPr>
          <w:b/>
          <w:color w:val="000000"/>
        </w:rPr>
        <w:t>Tuesday, 11 September</w:t>
      </w:r>
      <w:r w:rsidR="00E53644" w:rsidRPr="00E53644">
        <w:rPr>
          <w:b/>
          <w:color w:val="000000"/>
        </w:rPr>
        <w:t xml:space="preserve"> 2018</w:t>
      </w:r>
    </w:p>
    <w:p w14:paraId="26479D80" w14:textId="6E535054" w:rsidR="00BD156B" w:rsidRPr="00E53644" w:rsidRDefault="00E53644" w:rsidP="00576342">
      <w:pPr>
        <w:jc w:val="center"/>
        <w:rPr>
          <w:color w:val="000000"/>
        </w:rPr>
      </w:pPr>
      <w:r>
        <w:rPr>
          <w:color w:val="000000"/>
        </w:rPr>
        <w:t xml:space="preserve">University of Southampton, Avenue Campus, </w:t>
      </w:r>
      <w:r w:rsidRPr="00E53644">
        <w:rPr>
          <w:color w:val="000000"/>
        </w:rPr>
        <w:t>Confucius Boardroom (65/2123)</w:t>
      </w:r>
    </w:p>
    <w:p w14:paraId="315B1CA9" w14:textId="77777777" w:rsidR="00E53644" w:rsidRPr="00E53644" w:rsidRDefault="00E53644" w:rsidP="00576342">
      <w:pPr>
        <w:pStyle w:val="Default"/>
        <w:jc w:val="center"/>
        <w:rPr>
          <w:rFonts w:ascii="Times New Roman" w:eastAsia="Times New Roman" w:hAnsi="Times New Roman" w:cs="Times New Roman"/>
        </w:rPr>
      </w:pPr>
      <w:r w:rsidRPr="00E53644">
        <w:rPr>
          <w:rFonts w:ascii="Times New Roman" w:eastAsia="Times New Roman" w:hAnsi="Times New Roman" w:cs="Times New Roman"/>
        </w:rPr>
        <w:t xml:space="preserve">Workshop organised by </w:t>
      </w:r>
      <w:r w:rsidRPr="00E53644">
        <w:rPr>
          <w:rFonts w:ascii="Times New Roman" w:hAnsi="Times New Roman" w:cs="Times New Roman"/>
          <w:sz w:val="22"/>
          <w:szCs w:val="22"/>
        </w:rPr>
        <w:t xml:space="preserve">Felix </w:t>
      </w:r>
      <w:proofErr w:type="spellStart"/>
      <w:r w:rsidRPr="00E53644">
        <w:rPr>
          <w:rFonts w:ascii="Times New Roman" w:hAnsi="Times New Roman" w:cs="Times New Roman"/>
          <w:sz w:val="22"/>
          <w:szCs w:val="22"/>
        </w:rPr>
        <w:t>Brahm</w:t>
      </w:r>
      <w:proofErr w:type="spellEnd"/>
      <w:r w:rsidRPr="00E53644">
        <w:rPr>
          <w:rFonts w:ascii="Times New Roman" w:hAnsi="Times New Roman" w:cs="Times New Roman"/>
          <w:sz w:val="22"/>
          <w:szCs w:val="22"/>
        </w:rPr>
        <w:t xml:space="preserve">, </w:t>
      </w:r>
      <w:proofErr w:type="spellStart"/>
      <w:r w:rsidRPr="00E53644">
        <w:rPr>
          <w:rFonts w:ascii="Times New Roman" w:hAnsi="Times New Roman" w:cs="Times New Roman"/>
          <w:sz w:val="22"/>
          <w:szCs w:val="22"/>
        </w:rPr>
        <w:t>Pritipuspa</w:t>
      </w:r>
      <w:proofErr w:type="spellEnd"/>
      <w:r w:rsidRPr="00E53644">
        <w:rPr>
          <w:rFonts w:ascii="Times New Roman" w:hAnsi="Times New Roman" w:cs="Times New Roman"/>
          <w:sz w:val="22"/>
          <w:szCs w:val="22"/>
        </w:rPr>
        <w:t xml:space="preserve"> Mishra</w:t>
      </w:r>
      <w:r>
        <w:rPr>
          <w:rFonts w:ascii="Times New Roman" w:hAnsi="Times New Roman" w:cs="Times New Roman"/>
          <w:sz w:val="22"/>
          <w:szCs w:val="22"/>
        </w:rPr>
        <w:t xml:space="preserve"> and </w:t>
      </w:r>
      <w:proofErr w:type="spellStart"/>
      <w:r w:rsidRPr="00E53644">
        <w:rPr>
          <w:rFonts w:ascii="Times New Roman" w:hAnsi="Times New Roman" w:cs="Times New Roman"/>
          <w:sz w:val="22"/>
          <w:szCs w:val="22"/>
        </w:rPr>
        <w:t>Falko</w:t>
      </w:r>
      <w:proofErr w:type="spellEnd"/>
      <w:r w:rsidRPr="00E53644">
        <w:rPr>
          <w:rFonts w:ascii="Times New Roman" w:hAnsi="Times New Roman" w:cs="Times New Roman"/>
          <w:sz w:val="22"/>
          <w:szCs w:val="22"/>
        </w:rPr>
        <w:t xml:space="preserve"> </w:t>
      </w:r>
      <w:proofErr w:type="spellStart"/>
      <w:r w:rsidRPr="00E53644">
        <w:rPr>
          <w:rFonts w:ascii="Times New Roman" w:hAnsi="Times New Roman" w:cs="Times New Roman"/>
          <w:sz w:val="22"/>
          <w:szCs w:val="22"/>
        </w:rPr>
        <w:t>Schnicke</w:t>
      </w:r>
      <w:proofErr w:type="spellEnd"/>
    </w:p>
    <w:p w14:paraId="07CBD29A" w14:textId="77777777" w:rsidR="00E53644" w:rsidRPr="00E53644" w:rsidRDefault="00E53644" w:rsidP="006A154A">
      <w:pPr>
        <w:rPr>
          <w:color w:val="000000"/>
        </w:rPr>
      </w:pPr>
    </w:p>
    <w:p w14:paraId="1B4B7EAE" w14:textId="37A32561" w:rsidR="00BD156B" w:rsidRDefault="00BD156B" w:rsidP="006A154A">
      <w:pPr>
        <w:rPr>
          <w:color w:val="000000"/>
        </w:rPr>
      </w:pPr>
    </w:p>
    <w:p w14:paraId="7DFEE45E" w14:textId="0A979F5E" w:rsidR="006A154A" w:rsidRPr="00E53644" w:rsidRDefault="00E53644" w:rsidP="006A154A">
      <w:pPr>
        <w:rPr>
          <w:b/>
          <w:color w:val="000000"/>
        </w:rPr>
      </w:pPr>
      <w:r w:rsidRPr="00E53644">
        <w:rPr>
          <w:b/>
          <w:color w:val="000000"/>
        </w:rPr>
        <w:t>Programme</w:t>
      </w:r>
    </w:p>
    <w:p w14:paraId="368BD6DF" w14:textId="77777777" w:rsidR="006A154A" w:rsidRDefault="006A154A" w:rsidP="006A154A">
      <w:pPr>
        <w:rPr>
          <w:color w:val="000000"/>
          <w:sz w:val="20"/>
          <w:szCs w:val="20"/>
        </w:rPr>
      </w:pPr>
    </w:p>
    <w:p w14:paraId="32BA69FD" w14:textId="77777777" w:rsidR="00083558" w:rsidRPr="00E53644" w:rsidRDefault="00083558" w:rsidP="006A154A">
      <w:pPr>
        <w:rPr>
          <w:color w:val="000000"/>
          <w:sz w:val="20"/>
          <w:szCs w:val="20"/>
        </w:rPr>
      </w:pPr>
    </w:p>
    <w:p w14:paraId="2DBEF211" w14:textId="1FCA8792" w:rsidR="006A154A" w:rsidRPr="002F7C3D" w:rsidRDefault="006A154A" w:rsidP="00576342">
      <w:pPr>
        <w:tabs>
          <w:tab w:val="left" w:pos="1418"/>
        </w:tabs>
        <w:rPr>
          <w:color w:val="000000"/>
          <w:sz w:val="22"/>
          <w:szCs w:val="22"/>
        </w:rPr>
      </w:pPr>
      <w:r w:rsidRPr="002F7C3D">
        <w:rPr>
          <w:b/>
          <w:color w:val="000000"/>
          <w:sz w:val="22"/>
          <w:szCs w:val="22"/>
        </w:rPr>
        <w:t>09.45-10.00</w:t>
      </w:r>
      <w:r w:rsidR="00576342" w:rsidRPr="002F7C3D">
        <w:rPr>
          <w:color w:val="000000"/>
          <w:sz w:val="22"/>
          <w:szCs w:val="22"/>
        </w:rPr>
        <w:tab/>
      </w:r>
      <w:r w:rsidR="0063567A">
        <w:rPr>
          <w:color w:val="000000"/>
          <w:sz w:val="22"/>
          <w:szCs w:val="22"/>
        </w:rPr>
        <w:t xml:space="preserve">Welcome and </w:t>
      </w:r>
      <w:r w:rsidRPr="002F7C3D">
        <w:rPr>
          <w:color w:val="000000"/>
          <w:sz w:val="22"/>
          <w:szCs w:val="22"/>
        </w:rPr>
        <w:t xml:space="preserve">Opening Remarks </w:t>
      </w:r>
      <w:r w:rsidR="0063567A">
        <w:rPr>
          <w:color w:val="000000"/>
          <w:sz w:val="22"/>
          <w:szCs w:val="22"/>
        </w:rPr>
        <w:t>by the Organisers</w:t>
      </w:r>
    </w:p>
    <w:p w14:paraId="14F164EB" w14:textId="77777777" w:rsidR="00576342" w:rsidRPr="002F7C3D" w:rsidRDefault="00576342" w:rsidP="00576342">
      <w:pPr>
        <w:tabs>
          <w:tab w:val="left" w:pos="1418"/>
        </w:tabs>
        <w:rPr>
          <w:color w:val="000000"/>
          <w:sz w:val="22"/>
          <w:szCs w:val="22"/>
        </w:rPr>
      </w:pPr>
    </w:p>
    <w:p w14:paraId="2AF21488" w14:textId="7F7D58A7" w:rsidR="006A154A" w:rsidRPr="002F7C3D" w:rsidRDefault="00576342" w:rsidP="00576342">
      <w:pPr>
        <w:tabs>
          <w:tab w:val="left" w:pos="1418"/>
        </w:tabs>
        <w:rPr>
          <w:b/>
          <w:color w:val="000000"/>
          <w:sz w:val="22"/>
          <w:szCs w:val="22"/>
          <w:u w:val="single"/>
        </w:rPr>
      </w:pPr>
      <w:r w:rsidRPr="002F7C3D">
        <w:rPr>
          <w:b/>
          <w:color w:val="000000"/>
          <w:sz w:val="22"/>
          <w:szCs w:val="22"/>
        </w:rPr>
        <w:t>10.00-11.30</w:t>
      </w:r>
      <w:r w:rsidRPr="002F7C3D">
        <w:rPr>
          <w:b/>
          <w:color w:val="000000"/>
          <w:sz w:val="22"/>
          <w:szCs w:val="22"/>
        </w:rPr>
        <w:tab/>
      </w:r>
      <w:r w:rsidR="0063567A">
        <w:rPr>
          <w:b/>
          <w:color w:val="000000"/>
          <w:sz w:val="22"/>
          <w:szCs w:val="22"/>
        </w:rPr>
        <w:t xml:space="preserve">I: </w:t>
      </w:r>
      <w:r w:rsidR="006A154A" w:rsidRPr="002F7C3D">
        <w:rPr>
          <w:b/>
          <w:color w:val="000000"/>
          <w:sz w:val="22"/>
          <w:szCs w:val="22"/>
        </w:rPr>
        <w:t>On Historicizing</w:t>
      </w:r>
      <w:r w:rsidRPr="002F7C3D">
        <w:rPr>
          <w:color w:val="000000"/>
          <w:sz w:val="22"/>
          <w:szCs w:val="22"/>
        </w:rPr>
        <w:t xml:space="preserve"> (</w:t>
      </w:r>
      <w:r w:rsidR="00E53644" w:rsidRPr="002F7C3D">
        <w:rPr>
          <w:color w:val="000000"/>
          <w:sz w:val="22"/>
          <w:szCs w:val="22"/>
        </w:rPr>
        <w:t xml:space="preserve">Chair: </w:t>
      </w:r>
      <w:r w:rsidR="00922DA7" w:rsidRPr="002F7C3D">
        <w:rPr>
          <w:color w:val="000000"/>
          <w:sz w:val="22"/>
          <w:szCs w:val="22"/>
        </w:rPr>
        <w:t>Falko Schnicke</w:t>
      </w:r>
      <w:r w:rsidRPr="002F7C3D">
        <w:rPr>
          <w:color w:val="000000"/>
          <w:sz w:val="22"/>
          <w:szCs w:val="22"/>
        </w:rPr>
        <w:t>)</w:t>
      </w:r>
    </w:p>
    <w:p w14:paraId="240A6C71" w14:textId="2FDB58A9" w:rsidR="006A154A" w:rsidRPr="002F7C3D" w:rsidRDefault="00576342" w:rsidP="00576342">
      <w:pPr>
        <w:tabs>
          <w:tab w:val="left" w:pos="1418"/>
        </w:tabs>
        <w:rPr>
          <w:color w:val="000000"/>
          <w:sz w:val="22"/>
          <w:szCs w:val="22"/>
        </w:rPr>
      </w:pPr>
      <w:r w:rsidRPr="002F7C3D">
        <w:rPr>
          <w:color w:val="000000"/>
          <w:sz w:val="22"/>
          <w:szCs w:val="22"/>
        </w:rPr>
        <w:tab/>
      </w:r>
      <w:r w:rsidR="006A154A" w:rsidRPr="002F7C3D">
        <w:rPr>
          <w:color w:val="000000"/>
          <w:sz w:val="22"/>
          <w:szCs w:val="22"/>
        </w:rPr>
        <w:t xml:space="preserve">Christer </w:t>
      </w:r>
      <w:proofErr w:type="spellStart"/>
      <w:r w:rsidR="006A154A" w:rsidRPr="002F7C3D">
        <w:rPr>
          <w:color w:val="000000"/>
          <w:sz w:val="22"/>
          <w:szCs w:val="22"/>
        </w:rPr>
        <w:t>Petley</w:t>
      </w:r>
      <w:proofErr w:type="spellEnd"/>
      <w:r w:rsidR="00DF2767">
        <w:rPr>
          <w:color w:val="000000"/>
          <w:sz w:val="22"/>
          <w:szCs w:val="22"/>
        </w:rPr>
        <w:t xml:space="preserve">, </w:t>
      </w:r>
      <w:r w:rsidR="00DF2767" w:rsidRPr="00DF2767">
        <w:rPr>
          <w:color w:val="000000"/>
          <w:sz w:val="22"/>
          <w:szCs w:val="22"/>
        </w:rPr>
        <w:t>‘Slavery &gt; Archive &lt; History’ </w:t>
      </w:r>
    </w:p>
    <w:p w14:paraId="6DFB25C8" w14:textId="6E8CF0E7" w:rsidR="006A154A" w:rsidRPr="002F7C3D" w:rsidRDefault="006A154A" w:rsidP="00576342">
      <w:pPr>
        <w:tabs>
          <w:tab w:val="left" w:pos="1418"/>
        </w:tabs>
        <w:ind w:left="1418"/>
        <w:rPr>
          <w:color w:val="000000"/>
          <w:sz w:val="22"/>
          <w:szCs w:val="22"/>
          <w:lang w:val="en-US"/>
        </w:rPr>
      </w:pPr>
      <w:proofErr w:type="spellStart"/>
      <w:r w:rsidRPr="002F7C3D">
        <w:rPr>
          <w:color w:val="000000"/>
          <w:sz w:val="22"/>
          <w:szCs w:val="22"/>
        </w:rPr>
        <w:t>Priti</w:t>
      </w:r>
      <w:proofErr w:type="spellEnd"/>
      <w:r w:rsidRPr="002F7C3D">
        <w:rPr>
          <w:color w:val="000000"/>
          <w:sz w:val="22"/>
          <w:szCs w:val="22"/>
        </w:rPr>
        <w:t xml:space="preserve"> Mishra</w:t>
      </w:r>
      <w:r w:rsidR="00A56C25">
        <w:rPr>
          <w:color w:val="000000"/>
          <w:sz w:val="22"/>
          <w:szCs w:val="22"/>
        </w:rPr>
        <w:t>,</w:t>
      </w:r>
      <w:r w:rsidR="00E53644" w:rsidRPr="002F7C3D">
        <w:rPr>
          <w:color w:val="000000"/>
          <w:sz w:val="22"/>
          <w:szCs w:val="22"/>
        </w:rPr>
        <w:t xml:space="preserve"> </w:t>
      </w:r>
      <w:r w:rsidR="00A56C25">
        <w:rPr>
          <w:color w:val="000000"/>
          <w:sz w:val="22"/>
          <w:szCs w:val="22"/>
          <w:lang w:val="en-US"/>
        </w:rPr>
        <w:t>A noble dream?</w:t>
      </w:r>
      <w:r w:rsidRPr="002F7C3D">
        <w:rPr>
          <w:color w:val="000000"/>
          <w:sz w:val="22"/>
          <w:szCs w:val="22"/>
          <w:lang w:val="en-US"/>
        </w:rPr>
        <w:t xml:space="preserve"> The search for a national language in early twentieth century India</w:t>
      </w:r>
    </w:p>
    <w:p w14:paraId="35C56097" w14:textId="4EA78676" w:rsidR="006A154A" w:rsidRPr="002F7C3D" w:rsidRDefault="00576342" w:rsidP="00576342">
      <w:pPr>
        <w:tabs>
          <w:tab w:val="left" w:pos="1418"/>
        </w:tabs>
        <w:ind w:left="1418"/>
        <w:rPr>
          <w:color w:val="000000"/>
          <w:sz w:val="22"/>
          <w:szCs w:val="22"/>
        </w:rPr>
      </w:pPr>
      <w:r w:rsidRPr="002F7C3D">
        <w:rPr>
          <w:color w:val="000000"/>
          <w:sz w:val="22"/>
          <w:szCs w:val="22"/>
        </w:rPr>
        <w:tab/>
      </w:r>
      <w:r w:rsidR="006A154A" w:rsidRPr="002F7C3D">
        <w:rPr>
          <w:color w:val="000000"/>
          <w:sz w:val="22"/>
          <w:szCs w:val="22"/>
        </w:rPr>
        <w:t>Indra Sengupta</w:t>
      </w:r>
      <w:r w:rsidR="00A56C25">
        <w:rPr>
          <w:color w:val="000000"/>
          <w:sz w:val="22"/>
          <w:szCs w:val="22"/>
        </w:rPr>
        <w:t>,</w:t>
      </w:r>
      <w:r w:rsidR="00E53644" w:rsidRPr="002F7C3D">
        <w:rPr>
          <w:color w:val="000000"/>
          <w:sz w:val="22"/>
          <w:szCs w:val="22"/>
        </w:rPr>
        <w:t xml:space="preserve"> </w:t>
      </w:r>
      <w:proofErr w:type="gramStart"/>
      <w:r w:rsidR="006A154A" w:rsidRPr="002F7C3D">
        <w:rPr>
          <w:color w:val="000000"/>
          <w:sz w:val="22"/>
          <w:szCs w:val="22"/>
        </w:rPr>
        <w:t>Of</w:t>
      </w:r>
      <w:proofErr w:type="gramEnd"/>
      <w:r w:rsidR="006A154A" w:rsidRPr="002F7C3D">
        <w:rPr>
          <w:color w:val="000000"/>
          <w:sz w:val="22"/>
          <w:szCs w:val="22"/>
        </w:rPr>
        <w:t xml:space="preserve"> </w:t>
      </w:r>
      <w:r w:rsidRPr="002F7C3D">
        <w:rPr>
          <w:color w:val="000000"/>
          <w:sz w:val="22"/>
          <w:szCs w:val="22"/>
        </w:rPr>
        <w:t>p</w:t>
      </w:r>
      <w:r w:rsidR="006A154A" w:rsidRPr="002F7C3D">
        <w:rPr>
          <w:color w:val="000000"/>
          <w:sz w:val="22"/>
          <w:szCs w:val="22"/>
        </w:rPr>
        <w:t xml:space="preserve">laces </w:t>
      </w:r>
      <w:r w:rsidRPr="002F7C3D">
        <w:rPr>
          <w:color w:val="000000"/>
          <w:sz w:val="22"/>
          <w:szCs w:val="22"/>
        </w:rPr>
        <w:t>p</w:t>
      </w:r>
      <w:r w:rsidR="006A154A" w:rsidRPr="002F7C3D">
        <w:rPr>
          <w:color w:val="000000"/>
          <w:sz w:val="22"/>
          <w:szCs w:val="22"/>
        </w:rPr>
        <w:t>ast</w:t>
      </w:r>
      <w:r w:rsidR="00A56C25">
        <w:rPr>
          <w:color w:val="000000"/>
          <w:sz w:val="22"/>
          <w:szCs w:val="22"/>
        </w:rPr>
        <w:t>:</w:t>
      </w:r>
      <w:r w:rsidR="006A154A" w:rsidRPr="002F7C3D">
        <w:rPr>
          <w:color w:val="000000"/>
          <w:sz w:val="22"/>
          <w:szCs w:val="22"/>
        </w:rPr>
        <w:t xml:space="preserve"> </w:t>
      </w:r>
      <w:r w:rsidRPr="002F7C3D">
        <w:rPr>
          <w:color w:val="000000"/>
          <w:sz w:val="22"/>
          <w:szCs w:val="22"/>
        </w:rPr>
        <w:t>h</w:t>
      </w:r>
      <w:r w:rsidR="006A154A" w:rsidRPr="002F7C3D">
        <w:rPr>
          <w:color w:val="000000"/>
          <w:sz w:val="22"/>
          <w:szCs w:val="22"/>
        </w:rPr>
        <w:t xml:space="preserve">istory and the </w:t>
      </w:r>
      <w:r w:rsidRPr="002F7C3D">
        <w:rPr>
          <w:color w:val="000000"/>
          <w:sz w:val="22"/>
          <w:szCs w:val="22"/>
        </w:rPr>
        <w:t>p</w:t>
      </w:r>
      <w:r w:rsidR="006A154A" w:rsidRPr="002F7C3D">
        <w:rPr>
          <w:color w:val="000000"/>
          <w:sz w:val="22"/>
          <w:szCs w:val="22"/>
        </w:rPr>
        <w:t xml:space="preserve">olitical in </w:t>
      </w:r>
      <w:r w:rsidRPr="002F7C3D">
        <w:rPr>
          <w:color w:val="000000"/>
          <w:sz w:val="22"/>
          <w:szCs w:val="22"/>
        </w:rPr>
        <w:t>l</w:t>
      </w:r>
      <w:r w:rsidR="006A154A" w:rsidRPr="002F7C3D">
        <w:rPr>
          <w:color w:val="000000"/>
          <w:sz w:val="22"/>
          <w:szCs w:val="22"/>
        </w:rPr>
        <w:t xml:space="preserve">ocally </w:t>
      </w:r>
      <w:r w:rsidRPr="002F7C3D">
        <w:rPr>
          <w:color w:val="000000"/>
          <w:sz w:val="22"/>
          <w:szCs w:val="22"/>
        </w:rPr>
        <w:t>produced l</w:t>
      </w:r>
      <w:r w:rsidR="006A154A" w:rsidRPr="002F7C3D">
        <w:rPr>
          <w:color w:val="000000"/>
          <w:sz w:val="22"/>
          <w:szCs w:val="22"/>
        </w:rPr>
        <w:t xml:space="preserve">ate </w:t>
      </w:r>
      <w:r w:rsidRPr="002F7C3D">
        <w:rPr>
          <w:color w:val="000000"/>
          <w:sz w:val="22"/>
          <w:szCs w:val="22"/>
        </w:rPr>
        <w:t>twentieth-century t</w:t>
      </w:r>
      <w:r w:rsidR="006A154A" w:rsidRPr="002F7C3D">
        <w:rPr>
          <w:color w:val="000000"/>
          <w:sz w:val="22"/>
          <w:szCs w:val="22"/>
        </w:rPr>
        <w:t xml:space="preserve">ravel </w:t>
      </w:r>
      <w:r w:rsidRPr="002F7C3D">
        <w:rPr>
          <w:color w:val="000000"/>
          <w:sz w:val="22"/>
          <w:szCs w:val="22"/>
        </w:rPr>
        <w:t>g</w:t>
      </w:r>
      <w:r w:rsidR="006A154A" w:rsidRPr="002F7C3D">
        <w:rPr>
          <w:color w:val="000000"/>
          <w:sz w:val="22"/>
          <w:szCs w:val="22"/>
        </w:rPr>
        <w:t>uides</w:t>
      </w:r>
    </w:p>
    <w:p w14:paraId="4DB2CDA8" w14:textId="77777777" w:rsidR="00576342" w:rsidRPr="002F7C3D" w:rsidRDefault="00576342" w:rsidP="00576342">
      <w:pPr>
        <w:tabs>
          <w:tab w:val="left" w:pos="1418"/>
        </w:tabs>
        <w:rPr>
          <w:color w:val="000000"/>
          <w:sz w:val="22"/>
          <w:szCs w:val="22"/>
        </w:rPr>
      </w:pPr>
    </w:p>
    <w:p w14:paraId="2D7ED327" w14:textId="595D37C7" w:rsidR="006A154A" w:rsidRPr="002F7C3D" w:rsidRDefault="006A154A" w:rsidP="00576342">
      <w:pPr>
        <w:tabs>
          <w:tab w:val="left" w:pos="1418"/>
        </w:tabs>
        <w:rPr>
          <w:color w:val="000000"/>
          <w:sz w:val="22"/>
          <w:szCs w:val="22"/>
        </w:rPr>
      </w:pPr>
      <w:r w:rsidRPr="002F7C3D">
        <w:rPr>
          <w:b/>
          <w:color w:val="000000"/>
          <w:sz w:val="22"/>
          <w:szCs w:val="22"/>
        </w:rPr>
        <w:t>11.30- 12.00</w:t>
      </w:r>
      <w:r w:rsidR="00576342" w:rsidRPr="002F7C3D">
        <w:rPr>
          <w:color w:val="000000"/>
          <w:sz w:val="22"/>
          <w:szCs w:val="22"/>
        </w:rPr>
        <w:tab/>
      </w:r>
      <w:r w:rsidRPr="002F7C3D">
        <w:rPr>
          <w:color w:val="000000"/>
          <w:sz w:val="22"/>
          <w:szCs w:val="22"/>
        </w:rPr>
        <w:t>Coffee Break</w:t>
      </w:r>
    </w:p>
    <w:p w14:paraId="73AA3B78" w14:textId="77777777" w:rsidR="004C0929" w:rsidRPr="002F7C3D" w:rsidRDefault="004C0929" w:rsidP="00576342">
      <w:pPr>
        <w:tabs>
          <w:tab w:val="left" w:pos="1418"/>
        </w:tabs>
        <w:rPr>
          <w:color w:val="000000"/>
          <w:sz w:val="22"/>
          <w:szCs w:val="22"/>
        </w:rPr>
      </w:pPr>
    </w:p>
    <w:p w14:paraId="412B1491" w14:textId="6B783ECC" w:rsidR="006A154A" w:rsidRPr="0063567A" w:rsidRDefault="00576342" w:rsidP="00576342">
      <w:pPr>
        <w:tabs>
          <w:tab w:val="left" w:pos="1418"/>
        </w:tabs>
        <w:rPr>
          <w:b/>
          <w:sz w:val="22"/>
          <w:szCs w:val="22"/>
        </w:rPr>
      </w:pPr>
      <w:r w:rsidRPr="002F7C3D">
        <w:rPr>
          <w:b/>
          <w:color w:val="000000"/>
          <w:sz w:val="22"/>
          <w:szCs w:val="22"/>
        </w:rPr>
        <w:t>12.00- 13.00</w:t>
      </w:r>
      <w:r w:rsidRPr="002F7C3D">
        <w:rPr>
          <w:b/>
          <w:color w:val="000000"/>
          <w:sz w:val="22"/>
          <w:szCs w:val="22"/>
        </w:rPr>
        <w:tab/>
      </w:r>
      <w:r w:rsidR="0063567A">
        <w:rPr>
          <w:b/>
          <w:color w:val="000000"/>
          <w:sz w:val="22"/>
          <w:szCs w:val="22"/>
        </w:rPr>
        <w:t xml:space="preserve">II: </w:t>
      </w:r>
      <w:r w:rsidR="006A154A" w:rsidRPr="002F7C3D">
        <w:rPr>
          <w:b/>
          <w:sz w:val="22"/>
          <w:szCs w:val="22"/>
        </w:rPr>
        <w:t xml:space="preserve">Semantics in the </w:t>
      </w:r>
      <w:r w:rsidRPr="002F7C3D">
        <w:rPr>
          <w:b/>
          <w:sz w:val="22"/>
          <w:szCs w:val="22"/>
        </w:rPr>
        <w:t>C</w:t>
      </w:r>
      <w:r w:rsidR="006A154A" w:rsidRPr="002F7C3D">
        <w:rPr>
          <w:b/>
          <w:sz w:val="22"/>
          <w:szCs w:val="22"/>
        </w:rPr>
        <w:t xml:space="preserve">olonial and </w:t>
      </w:r>
      <w:r w:rsidR="0063567A">
        <w:rPr>
          <w:b/>
          <w:sz w:val="22"/>
          <w:szCs w:val="22"/>
        </w:rPr>
        <w:t>Post-C</w:t>
      </w:r>
      <w:r w:rsidRPr="002F7C3D">
        <w:rPr>
          <w:b/>
          <w:sz w:val="22"/>
          <w:szCs w:val="22"/>
        </w:rPr>
        <w:t>olonial E</w:t>
      </w:r>
      <w:r w:rsidR="006A154A" w:rsidRPr="002F7C3D">
        <w:rPr>
          <w:b/>
          <w:sz w:val="22"/>
          <w:szCs w:val="22"/>
        </w:rPr>
        <w:t>ncounter</w:t>
      </w:r>
      <w:r w:rsidRPr="002F7C3D">
        <w:rPr>
          <w:sz w:val="22"/>
          <w:szCs w:val="22"/>
        </w:rPr>
        <w:t xml:space="preserve"> (</w:t>
      </w:r>
      <w:r w:rsidR="00E53644" w:rsidRPr="002F7C3D">
        <w:rPr>
          <w:sz w:val="22"/>
          <w:szCs w:val="22"/>
        </w:rPr>
        <w:t xml:space="preserve">Chair: </w:t>
      </w:r>
      <w:proofErr w:type="spellStart"/>
      <w:r w:rsidR="00922DA7" w:rsidRPr="002F7C3D">
        <w:rPr>
          <w:sz w:val="22"/>
          <w:szCs w:val="22"/>
        </w:rPr>
        <w:t>Priti</w:t>
      </w:r>
      <w:proofErr w:type="spellEnd"/>
      <w:r w:rsidR="00922DA7" w:rsidRPr="002F7C3D">
        <w:rPr>
          <w:sz w:val="22"/>
          <w:szCs w:val="22"/>
        </w:rPr>
        <w:t xml:space="preserve"> Mishra</w:t>
      </w:r>
      <w:r w:rsidRPr="002F7C3D">
        <w:rPr>
          <w:sz w:val="22"/>
          <w:szCs w:val="22"/>
        </w:rPr>
        <w:t>)</w:t>
      </w:r>
    </w:p>
    <w:p w14:paraId="2CC0DE10" w14:textId="71ED4395" w:rsidR="006A154A" w:rsidRPr="002F7C3D" w:rsidRDefault="006A154A" w:rsidP="002F7C3D">
      <w:pPr>
        <w:tabs>
          <w:tab w:val="left" w:pos="1418"/>
        </w:tabs>
        <w:ind w:left="1418"/>
        <w:rPr>
          <w:sz w:val="22"/>
          <w:szCs w:val="22"/>
        </w:rPr>
      </w:pPr>
      <w:r w:rsidRPr="002F7C3D">
        <w:rPr>
          <w:sz w:val="22"/>
          <w:szCs w:val="22"/>
        </w:rPr>
        <w:t>Charlotte Riley</w:t>
      </w:r>
      <w:r w:rsidR="00A56C25">
        <w:rPr>
          <w:sz w:val="22"/>
          <w:szCs w:val="22"/>
        </w:rPr>
        <w:t>,</w:t>
      </w:r>
      <w:r w:rsidR="00E53644" w:rsidRPr="002F7C3D">
        <w:rPr>
          <w:sz w:val="22"/>
          <w:szCs w:val="22"/>
        </w:rPr>
        <w:t xml:space="preserve"> </w:t>
      </w:r>
      <w:r w:rsidRPr="002F7C3D">
        <w:rPr>
          <w:color w:val="000000"/>
          <w:sz w:val="22"/>
          <w:szCs w:val="22"/>
        </w:rPr>
        <w:t>Semantics is always a bitch: Development and aid as post-colonial encounter</w:t>
      </w:r>
    </w:p>
    <w:p w14:paraId="57EE9C6C" w14:textId="4D4AAE87" w:rsidR="006A154A" w:rsidRPr="002F7C3D" w:rsidRDefault="006A154A" w:rsidP="002F7C3D">
      <w:pPr>
        <w:tabs>
          <w:tab w:val="left" w:pos="1418"/>
        </w:tabs>
        <w:ind w:left="1418"/>
        <w:rPr>
          <w:color w:val="000000"/>
          <w:sz w:val="22"/>
          <w:szCs w:val="22"/>
        </w:rPr>
      </w:pPr>
      <w:r w:rsidRPr="002F7C3D">
        <w:rPr>
          <w:color w:val="000000"/>
          <w:sz w:val="22"/>
          <w:szCs w:val="22"/>
        </w:rPr>
        <w:t xml:space="preserve">Felix </w:t>
      </w:r>
      <w:proofErr w:type="spellStart"/>
      <w:r w:rsidRPr="002F7C3D">
        <w:rPr>
          <w:color w:val="000000"/>
          <w:sz w:val="22"/>
          <w:szCs w:val="22"/>
        </w:rPr>
        <w:t>Brahm</w:t>
      </w:r>
      <w:proofErr w:type="spellEnd"/>
      <w:r w:rsidR="00A56C25">
        <w:rPr>
          <w:color w:val="000000"/>
          <w:sz w:val="22"/>
          <w:szCs w:val="22"/>
        </w:rPr>
        <w:t>,</w:t>
      </w:r>
      <w:r w:rsidRPr="002F7C3D">
        <w:rPr>
          <w:color w:val="000000"/>
          <w:sz w:val="22"/>
          <w:szCs w:val="22"/>
        </w:rPr>
        <w:t xml:space="preserve"> </w:t>
      </w:r>
      <w:r w:rsidR="00E53644" w:rsidRPr="002F7C3D">
        <w:rPr>
          <w:color w:val="000000"/>
          <w:sz w:val="22"/>
          <w:szCs w:val="22"/>
        </w:rPr>
        <w:t>‘</w:t>
      </w:r>
      <w:proofErr w:type="spellStart"/>
      <w:r w:rsidRPr="002F7C3D">
        <w:rPr>
          <w:color w:val="000000"/>
          <w:sz w:val="22"/>
          <w:szCs w:val="22"/>
        </w:rPr>
        <w:t>Invectivity</w:t>
      </w:r>
      <w:proofErr w:type="spellEnd"/>
      <w:r w:rsidR="00E53644" w:rsidRPr="002F7C3D">
        <w:rPr>
          <w:color w:val="000000"/>
          <w:sz w:val="22"/>
          <w:szCs w:val="22"/>
        </w:rPr>
        <w:t>’</w:t>
      </w:r>
      <w:r w:rsidRPr="002F7C3D">
        <w:rPr>
          <w:color w:val="000000"/>
          <w:sz w:val="22"/>
          <w:szCs w:val="22"/>
        </w:rPr>
        <w:t xml:space="preserve"> and political mobilisation: Thoughts on two cases from colonial Kenya and Tanzania</w:t>
      </w:r>
    </w:p>
    <w:p w14:paraId="2CBFD117" w14:textId="77777777" w:rsidR="002F7C3D" w:rsidRDefault="002F7C3D" w:rsidP="00576342">
      <w:pPr>
        <w:tabs>
          <w:tab w:val="left" w:pos="1418"/>
        </w:tabs>
        <w:rPr>
          <w:b/>
          <w:color w:val="000000"/>
          <w:sz w:val="22"/>
          <w:szCs w:val="22"/>
        </w:rPr>
      </w:pPr>
    </w:p>
    <w:p w14:paraId="5DE34FA3" w14:textId="3087287C" w:rsidR="006A154A" w:rsidRPr="002F7C3D" w:rsidRDefault="006A154A" w:rsidP="00576342">
      <w:pPr>
        <w:tabs>
          <w:tab w:val="left" w:pos="1418"/>
        </w:tabs>
        <w:rPr>
          <w:color w:val="000000"/>
          <w:sz w:val="22"/>
          <w:szCs w:val="22"/>
        </w:rPr>
      </w:pPr>
      <w:r w:rsidRPr="002F7C3D">
        <w:rPr>
          <w:b/>
          <w:color w:val="000000"/>
          <w:sz w:val="22"/>
          <w:szCs w:val="22"/>
        </w:rPr>
        <w:t>13.00-14.30</w:t>
      </w:r>
      <w:r w:rsidR="002F7C3D">
        <w:rPr>
          <w:color w:val="000000"/>
          <w:sz w:val="22"/>
          <w:szCs w:val="22"/>
        </w:rPr>
        <w:tab/>
      </w:r>
      <w:r w:rsidRPr="002F7C3D">
        <w:rPr>
          <w:color w:val="000000"/>
          <w:sz w:val="22"/>
          <w:szCs w:val="22"/>
        </w:rPr>
        <w:t>Lunch Break</w:t>
      </w:r>
    </w:p>
    <w:p w14:paraId="5A3C877F" w14:textId="77777777" w:rsidR="00E53644" w:rsidRPr="002F7C3D" w:rsidRDefault="00E53644" w:rsidP="00576342">
      <w:pPr>
        <w:tabs>
          <w:tab w:val="left" w:pos="1418"/>
        </w:tabs>
        <w:rPr>
          <w:color w:val="000000"/>
          <w:sz w:val="22"/>
          <w:szCs w:val="22"/>
        </w:rPr>
      </w:pPr>
    </w:p>
    <w:p w14:paraId="0F675A83" w14:textId="110C67B6" w:rsidR="00E53644" w:rsidRPr="002F7C3D" w:rsidRDefault="002F7C3D" w:rsidP="00576342">
      <w:pPr>
        <w:tabs>
          <w:tab w:val="left" w:pos="1418"/>
        </w:tabs>
        <w:rPr>
          <w:b/>
          <w:color w:val="000000"/>
          <w:sz w:val="22"/>
          <w:szCs w:val="22"/>
        </w:rPr>
      </w:pPr>
      <w:r>
        <w:rPr>
          <w:b/>
          <w:color w:val="000000"/>
          <w:sz w:val="22"/>
          <w:szCs w:val="22"/>
        </w:rPr>
        <w:t>14.30-15.30</w:t>
      </w:r>
      <w:r>
        <w:rPr>
          <w:b/>
          <w:color w:val="000000"/>
          <w:sz w:val="22"/>
          <w:szCs w:val="22"/>
        </w:rPr>
        <w:tab/>
      </w:r>
      <w:r w:rsidR="0063567A" w:rsidRPr="0063567A">
        <w:rPr>
          <w:b/>
          <w:color w:val="000000"/>
          <w:sz w:val="22"/>
          <w:szCs w:val="22"/>
        </w:rPr>
        <w:t xml:space="preserve">III: </w:t>
      </w:r>
      <w:r w:rsidR="00576342" w:rsidRPr="0063567A">
        <w:rPr>
          <w:b/>
          <w:color w:val="000000"/>
          <w:sz w:val="22"/>
          <w:szCs w:val="22"/>
        </w:rPr>
        <w:t>Post-Colonial Politics</w:t>
      </w:r>
      <w:r>
        <w:rPr>
          <w:color w:val="000000"/>
          <w:sz w:val="22"/>
          <w:szCs w:val="22"/>
        </w:rPr>
        <w:t xml:space="preserve"> (</w:t>
      </w:r>
      <w:r w:rsidR="00E53644" w:rsidRPr="002F7C3D">
        <w:rPr>
          <w:color w:val="000000"/>
          <w:sz w:val="22"/>
          <w:szCs w:val="22"/>
        </w:rPr>
        <w:t xml:space="preserve">Chair: </w:t>
      </w:r>
      <w:r w:rsidR="00922DA7" w:rsidRPr="002F7C3D">
        <w:rPr>
          <w:color w:val="000000"/>
          <w:sz w:val="22"/>
          <w:szCs w:val="22"/>
        </w:rPr>
        <w:t>Indra Sengupta</w:t>
      </w:r>
      <w:r>
        <w:rPr>
          <w:color w:val="000000"/>
          <w:sz w:val="22"/>
          <w:szCs w:val="22"/>
        </w:rPr>
        <w:t>)</w:t>
      </w:r>
    </w:p>
    <w:p w14:paraId="1131639F" w14:textId="0574188F" w:rsidR="00E53644" w:rsidRPr="002F7C3D" w:rsidRDefault="006A154A" w:rsidP="002F7C3D">
      <w:pPr>
        <w:tabs>
          <w:tab w:val="left" w:pos="1418"/>
        </w:tabs>
        <w:ind w:left="1418"/>
        <w:rPr>
          <w:color w:val="000000"/>
          <w:sz w:val="22"/>
          <w:szCs w:val="22"/>
        </w:rPr>
      </w:pPr>
      <w:r w:rsidRPr="002F7C3D">
        <w:rPr>
          <w:color w:val="000000"/>
          <w:sz w:val="22"/>
          <w:szCs w:val="22"/>
        </w:rPr>
        <w:t>Falko Schnicke</w:t>
      </w:r>
      <w:r w:rsidR="00A56C25">
        <w:rPr>
          <w:color w:val="000000"/>
          <w:sz w:val="22"/>
          <w:szCs w:val="22"/>
        </w:rPr>
        <w:t>,</w:t>
      </w:r>
      <w:r w:rsidRPr="002F7C3D">
        <w:rPr>
          <w:color w:val="000000"/>
          <w:sz w:val="22"/>
          <w:szCs w:val="22"/>
        </w:rPr>
        <w:t xml:space="preserve"> Colonial </w:t>
      </w:r>
      <w:r w:rsidR="00576342" w:rsidRPr="002F7C3D">
        <w:rPr>
          <w:color w:val="000000"/>
          <w:sz w:val="22"/>
          <w:szCs w:val="22"/>
        </w:rPr>
        <w:t>h</w:t>
      </w:r>
      <w:r w:rsidRPr="002F7C3D">
        <w:rPr>
          <w:color w:val="000000"/>
          <w:sz w:val="22"/>
          <w:szCs w:val="22"/>
        </w:rPr>
        <w:t xml:space="preserve">istory and </w:t>
      </w:r>
      <w:r w:rsidR="00576342" w:rsidRPr="002F7C3D">
        <w:rPr>
          <w:color w:val="000000"/>
          <w:sz w:val="22"/>
          <w:szCs w:val="22"/>
        </w:rPr>
        <w:t>Cold War p</w:t>
      </w:r>
      <w:r w:rsidRPr="002F7C3D">
        <w:rPr>
          <w:color w:val="000000"/>
          <w:sz w:val="22"/>
          <w:szCs w:val="22"/>
        </w:rPr>
        <w:t xml:space="preserve">ower </w:t>
      </w:r>
      <w:r w:rsidR="00576342" w:rsidRPr="002F7C3D">
        <w:rPr>
          <w:color w:val="000000"/>
          <w:sz w:val="22"/>
          <w:szCs w:val="22"/>
        </w:rPr>
        <w:t>r</w:t>
      </w:r>
      <w:r w:rsidRPr="002F7C3D">
        <w:rPr>
          <w:color w:val="000000"/>
          <w:sz w:val="22"/>
          <w:szCs w:val="22"/>
        </w:rPr>
        <w:t xml:space="preserve">elations: Elizabeth II’s </w:t>
      </w:r>
      <w:r w:rsidR="00576342" w:rsidRPr="002F7C3D">
        <w:rPr>
          <w:color w:val="000000"/>
          <w:sz w:val="22"/>
          <w:szCs w:val="22"/>
        </w:rPr>
        <w:t>v</w:t>
      </w:r>
      <w:r w:rsidRPr="002F7C3D">
        <w:rPr>
          <w:color w:val="000000"/>
          <w:sz w:val="22"/>
          <w:szCs w:val="22"/>
        </w:rPr>
        <w:t>isits to India, Pakistan (1961) and the US (1976)</w:t>
      </w:r>
    </w:p>
    <w:p w14:paraId="044853D9" w14:textId="2EAD2133" w:rsidR="006A154A" w:rsidRPr="002F7C3D" w:rsidRDefault="002F7C3D" w:rsidP="00576342">
      <w:pPr>
        <w:tabs>
          <w:tab w:val="left" w:pos="1418"/>
        </w:tabs>
        <w:rPr>
          <w:sz w:val="22"/>
          <w:szCs w:val="22"/>
        </w:rPr>
      </w:pPr>
      <w:r>
        <w:rPr>
          <w:sz w:val="22"/>
          <w:szCs w:val="22"/>
        </w:rPr>
        <w:tab/>
      </w:r>
      <w:r w:rsidR="00576342" w:rsidRPr="002F7C3D">
        <w:rPr>
          <w:sz w:val="22"/>
          <w:szCs w:val="22"/>
        </w:rPr>
        <w:t>Ian Talbot, Rethinking the Indian Partition</w:t>
      </w:r>
    </w:p>
    <w:p w14:paraId="19F5F4FF" w14:textId="77777777" w:rsidR="00576342" w:rsidRPr="002F7C3D" w:rsidRDefault="00576342" w:rsidP="00576342">
      <w:pPr>
        <w:tabs>
          <w:tab w:val="left" w:pos="1418"/>
        </w:tabs>
        <w:rPr>
          <w:sz w:val="22"/>
          <w:szCs w:val="22"/>
        </w:rPr>
      </w:pPr>
    </w:p>
    <w:p w14:paraId="65C55F9B" w14:textId="485B82E5" w:rsidR="006A154A" w:rsidRPr="002F7C3D" w:rsidRDefault="006A154A" w:rsidP="00576342">
      <w:pPr>
        <w:tabs>
          <w:tab w:val="left" w:pos="1418"/>
        </w:tabs>
        <w:rPr>
          <w:color w:val="000000"/>
          <w:sz w:val="22"/>
          <w:szCs w:val="22"/>
        </w:rPr>
      </w:pPr>
      <w:r w:rsidRPr="002F7C3D">
        <w:rPr>
          <w:b/>
          <w:color w:val="000000"/>
          <w:sz w:val="22"/>
          <w:szCs w:val="22"/>
        </w:rPr>
        <w:t>15.30-16.00</w:t>
      </w:r>
      <w:r w:rsidR="002F7C3D">
        <w:rPr>
          <w:color w:val="000000"/>
          <w:sz w:val="22"/>
          <w:szCs w:val="22"/>
        </w:rPr>
        <w:tab/>
      </w:r>
      <w:r w:rsidRPr="002F7C3D">
        <w:rPr>
          <w:color w:val="000000"/>
          <w:sz w:val="22"/>
          <w:szCs w:val="22"/>
        </w:rPr>
        <w:t>Coffee Break</w:t>
      </w:r>
    </w:p>
    <w:p w14:paraId="33E9B395" w14:textId="77777777" w:rsidR="00576342" w:rsidRPr="002F7C3D" w:rsidRDefault="00576342" w:rsidP="00576342">
      <w:pPr>
        <w:tabs>
          <w:tab w:val="left" w:pos="1418"/>
        </w:tabs>
        <w:rPr>
          <w:b/>
          <w:color w:val="000000"/>
          <w:sz w:val="22"/>
          <w:szCs w:val="22"/>
        </w:rPr>
      </w:pPr>
    </w:p>
    <w:p w14:paraId="55345C76" w14:textId="7C78C159" w:rsidR="006A154A" w:rsidRPr="002F7C3D" w:rsidRDefault="002F7C3D" w:rsidP="00576342">
      <w:pPr>
        <w:tabs>
          <w:tab w:val="left" w:pos="1418"/>
        </w:tabs>
        <w:rPr>
          <w:color w:val="000000"/>
          <w:sz w:val="22"/>
          <w:szCs w:val="22"/>
        </w:rPr>
      </w:pPr>
      <w:r>
        <w:rPr>
          <w:b/>
          <w:color w:val="000000"/>
          <w:sz w:val="22"/>
          <w:szCs w:val="22"/>
        </w:rPr>
        <w:t>16.00-17.00</w:t>
      </w:r>
      <w:r>
        <w:rPr>
          <w:b/>
          <w:color w:val="000000"/>
          <w:sz w:val="22"/>
          <w:szCs w:val="22"/>
        </w:rPr>
        <w:tab/>
      </w:r>
      <w:r w:rsidR="0063567A">
        <w:rPr>
          <w:b/>
          <w:color w:val="000000"/>
          <w:sz w:val="22"/>
          <w:szCs w:val="22"/>
        </w:rPr>
        <w:t xml:space="preserve">IV: </w:t>
      </w:r>
      <w:r w:rsidR="006A154A" w:rsidRPr="002F7C3D">
        <w:rPr>
          <w:b/>
          <w:color w:val="000000"/>
          <w:sz w:val="22"/>
          <w:szCs w:val="22"/>
        </w:rPr>
        <w:t>Colonial and Post-</w:t>
      </w:r>
      <w:r w:rsidR="0063567A">
        <w:rPr>
          <w:b/>
          <w:color w:val="000000"/>
          <w:sz w:val="22"/>
          <w:szCs w:val="22"/>
        </w:rPr>
        <w:t>C</w:t>
      </w:r>
      <w:r w:rsidR="006A154A" w:rsidRPr="002F7C3D">
        <w:rPr>
          <w:b/>
          <w:color w:val="000000"/>
          <w:sz w:val="22"/>
          <w:szCs w:val="22"/>
        </w:rPr>
        <w:t>olonial Violence</w:t>
      </w:r>
      <w:r>
        <w:rPr>
          <w:color w:val="000000"/>
          <w:sz w:val="22"/>
          <w:szCs w:val="22"/>
        </w:rPr>
        <w:t xml:space="preserve"> (</w:t>
      </w:r>
      <w:r w:rsidR="004C0929" w:rsidRPr="002F7C3D">
        <w:rPr>
          <w:color w:val="000000"/>
          <w:sz w:val="22"/>
          <w:szCs w:val="22"/>
        </w:rPr>
        <w:t xml:space="preserve">Chair: </w:t>
      </w:r>
      <w:r w:rsidR="00922DA7" w:rsidRPr="002F7C3D">
        <w:rPr>
          <w:color w:val="000000"/>
          <w:sz w:val="22"/>
          <w:szCs w:val="22"/>
        </w:rPr>
        <w:t>Felix Brahm</w:t>
      </w:r>
      <w:r>
        <w:rPr>
          <w:color w:val="000000"/>
          <w:sz w:val="22"/>
          <w:szCs w:val="22"/>
        </w:rPr>
        <w:t>)</w:t>
      </w:r>
    </w:p>
    <w:p w14:paraId="54CC10F4" w14:textId="6D84598D" w:rsidR="006A154A" w:rsidRPr="002F7C3D" w:rsidRDefault="006A154A" w:rsidP="002F7C3D">
      <w:pPr>
        <w:tabs>
          <w:tab w:val="left" w:pos="1418"/>
        </w:tabs>
        <w:ind w:left="1418"/>
        <w:rPr>
          <w:color w:val="000000"/>
          <w:sz w:val="22"/>
          <w:szCs w:val="22"/>
        </w:rPr>
      </w:pPr>
      <w:r w:rsidRPr="002F7C3D">
        <w:rPr>
          <w:color w:val="000000"/>
          <w:sz w:val="22"/>
          <w:szCs w:val="22"/>
        </w:rPr>
        <w:t xml:space="preserve">Tom </w:t>
      </w:r>
      <w:proofErr w:type="spellStart"/>
      <w:r w:rsidRPr="002F7C3D">
        <w:rPr>
          <w:color w:val="000000"/>
          <w:sz w:val="22"/>
          <w:szCs w:val="22"/>
        </w:rPr>
        <w:t>Menger</w:t>
      </w:r>
      <w:proofErr w:type="spellEnd"/>
      <w:r w:rsidR="00A56C25">
        <w:rPr>
          <w:color w:val="000000"/>
          <w:sz w:val="22"/>
          <w:szCs w:val="22"/>
        </w:rPr>
        <w:t>,</w:t>
      </w:r>
      <w:r w:rsidRPr="002F7C3D">
        <w:rPr>
          <w:color w:val="000000"/>
          <w:sz w:val="22"/>
          <w:szCs w:val="22"/>
        </w:rPr>
        <w:t xml:space="preserve"> </w:t>
      </w:r>
      <w:r w:rsidR="00083558" w:rsidRPr="002F7C3D">
        <w:rPr>
          <w:color w:val="000000"/>
          <w:sz w:val="22"/>
          <w:szCs w:val="22"/>
        </w:rPr>
        <w:t>‘</w:t>
      </w:r>
      <w:r w:rsidRPr="002F7C3D">
        <w:rPr>
          <w:color w:val="000000"/>
          <w:sz w:val="22"/>
          <w:szCs w:val="22"/>
        </w:rPr>
        <w:t>Not very uplifting work</w:t>
      </w:r>
      <w:r w:rsidR="00083558" w:rsidRPr="002F7C3D">
        <w:rPr>
          <w:color w:val="000000"/>
          <w:sz w:val="22"/>
          <w:szCs w:val="22"/>
        </w:rPr>
        <w:t>’</w:t>
      </w:r>
      <w:r w:rsidRPr="002F7C3D">
        <w:rPr>
          <w:color w:val="000000"/>
          <w:sz w:val="22"/>
          <w:szCs w:val="22"/>
        </w:rPr>
        <w:t>. German officers first encountering and practising colonial violence in East Africa, c. 1890-1907</w:t>
      </w:r>
    </w:p>
    <w:p w14:paraId="7F5E40C3" w14:textId="1F7E3724" w:rsidR="006A154A" w:rsidRPr="002F7C3D" w:rsidRDefault="006A154A" w:rsidP="002F7C3D">
      <w:pPr>
        <w:tabs>
          <w:tab w:val="left" w:pos="1418"/>
        </w:tabs>
        <w:ind w:left="1418"/>
        <w:rPr>
          <w:color w:val="000000"/>
          <w:sz w:val="22"/>
          <w:szCs w:val="22"/>
        </w:rPr>
      </w:pPr>
      <w:r w:rsidRPr="002F7C3D">
        <w:rPr>
          <w:color w:val="000000"/>
          <w:sz w:val="22"/>
          <w:szCs w:val="22"/>
        </w:rPr>
        <w:t>Chris Prior</w:t>
      </w:r>
      <w:r w:rsidR="00A56C25">
        <w:rPr>
          <w:color w:val="000000"/>
          <w:sz w:val="22"/>
          <w:szCs w:val="22"/>
        </w:rPr>
        <w:t>,</w:t>
      </w:r>
      <w:r w:rsidR="00083558" w:rsidRPr="002F7C3D">
        <w:rPr>
          <w:color w:val="000000"/>
          <w:sz w:val="22"/>
          <w:szCs w:val="22"/>
        </w:rPr>
        <w:t xml:space="preserve"> </w:t>
      </w:r>
      <w:r w:rsidRPr="002F7C3D">
        <w:rPr>
          <w:color w:val="000000"/>
          <w:sz w:val="22"/>
          <w:szCs w:val="22"/>
        </w:rPr>
        <w:t>Fighting the good fight? African violence and the British (post)colonial encounter in the 1960s</w:t>
      </w:r>
    </w:p>
    <w:p w14:paraId="586B4875" w14:textId="77777777" w:rsidR="00576342" w:rsidRPr="002F7C3D" w:rsidRDefault="00576342" w:rsidP="00576342">
      <w:pPr>
        <w:tabs>
          <w:tab w:val="left" w:pos="1418"/>
        </w:tabs>
        <w:rPr>
          <w:b/>
          <w:color w:val="000000"/>
          <w:sz w:val="22"/>
          <w:szCs w:val="22"/>
        </w:rPr>
      </w:pPr>
    </w:p>
    <w:p w14:paraId="386F620B" w14:textId="43FDB384" w:rsidR="006A154A" w:rsidRDefault="006A154A" w:rsidP="002F7C3D">
      <w:pPr>
        <w:tabs>
          <w:tab w:val="left" w:pos="1418"/>
        </w:tabs>
        <w:rPr>
          <w:color w:val="000000"/>
          <w:sz w:val="22"/>
          <w:szCs w:val="22"/>
        </w:rPr>
      </w:pPr>
      <w:r w:rsidRPr="002F7C3D">
        <w:rPr>
          <w:b/>
          <w:color w:val="000000"/>
          <w:sz w:val="22"/>
          <w:szCs w:val="22"/>
        </w:rPr>
        <w:t>17.00</w:t>
      </w:r>
      <w:r w:rsidR="002F7C3D">
        <w:rPr>
          <w:color w:val="000000"/>
          <w:sz w:val="22"/>
          <w:szCs w:val="22"/>
        </w:rPr>
        <w:tab/>
      </w:r>
      <w:r w:rsidRPr="002F7C3D">
        <w:rPr>
          <w:color w:val="000000"/>
          <w:sz w:val="22"/>
          <w:szCs w:val="22"/>
        </w:rPr>
        <w:t xml:space="preserve">End of </w:t>
      </w:r>
      <w:r w:rsidR="00A56C25">
        <w:rPr>
          <w:color w:val="000000"/>
          <w:sz w:val="22"/>
          <w:szCs w:val="22"/>
        </w:rPr>
        <w:t>W</w:t>
      </w:r>
      <w:r w:rsidRPr="002F7C3D">
        <w:rPr>
          <w:color w:val="000000"/>
          <w:sz w:val="22"/>
          <w:szCs w:val="22"/>
        </w:rPr>
        <w:t>orkshop</w:t>
      </w:r>
    </w:p>
    <w:p w14:paraId="509B3A99" w14:textId="6E23ECD3" w:rsidR="00C906DA" w:rsidRDefault="00C906DA">
      <w:pPr>
        <w:rPr>
          <w:color w:val="000000"/>
          <w:sz w:val="22"/>
          <w:szCs w:val="22"/>
        </w:rPr>
      </w:pPr>
      <w:r>
        <w:rPr>
          <w:color w:val="000000"/>
          <w:sz w:val="22"/>
          <w:szCs w:val="22"/>
        </w:rPr>
        <w:br w:type="page"/>
      </w:r>
    </w:p>
    <w:p w14:paraId="73415468" w14:textId="2C50206E" w:rsidR="00C906DA" w:rsidRPr="00C906DA" w:rsidRDefault="00C906DA" w:rsidP="00C906DA">
      <w:pPr>
        <w:tabs>
          <w:tab w:val="left" w:pos="1418"/>
        </w:tabs>
        <w:jc w:val="center"/>
        <w:rPr>
          <w:b/>
          <w:sz w:val="22"/>
          <w:szCs w:val="22"/>
          <w:u w:val="single"/>
        </w:rPr>
      </w:pPr>
      <w:r w:rsidRPr="00C906DA">
        <w:rPr>
          <w:b/>
          <w:sz w:val="22"/>
          <w:szCs w:val="22"/>
          <w:u w:val="single"/>
        </w:rPr>
        <w:lastRenderedPageBreak/>
        <w:t>Abstracts</w:t>
      </w:r>
    </w:p>
    <w:p w14:paraId="6A34FF5D" w14:textId="77777777" w:rsidR="00C906DA" w:rsidRDefault="00C906DA" w:rsidP="002F7C3D">
      <w:pPr>
        <w:tabs>
          <w:tab w:val="left" w:pos="1418"/>
        </w:tabs>
        <w:rPr>
          <w:b/>
          <w:color w:val="000000"/>
          <w:sz w:val="22"/>
          <w:szCs w:val="22"/>
        </w:rPr>
      </w:pPr>
    </w:p>
    <w:p w14:paraId="6C487EB4" w14:textId="3431A572" w:rsidR="00C906DA" w:rsidRPr="00C906DA" w:rsidRDefault="00C906DA" w:rsidP="002F7C3D">
      <w:pPr>
        <w:tabs>
          <w:tab w:val="left" w:pos="1418"/>
        </w:tabs>
        <w:rPr>
          <w:b/>
          <w:color w:val="000000"/>
          <w:sz w:val="22"/>
          <w:szCs w:val="22"/>
          <w:u w:val="single"/>
        </w:rPr>
      </w:pPr>
      <w:r w:rsidRPr="00C906DA">
        <w:rPr>
          <w:b/>
          <w:color w:val="000000"/>
          <w:sz w:val="22"/>
          <w:szCs w:val="22"/>
          <w:u w:val="single"/>
        </w:rPr>
        <w:t>10.00-11.30</w:t>
      </w:r>
      <w:r w:rsidRPr="00C906DA">
        <w:rPr>
          <w:b/>
          <w:color w:val="000000"/>
          <w:sz w:val="22"/>
          <w:szCs w:val="22"/>
          <w:u w:val="single"/>
        </w:rPr>
        <w:tab/>
        <w:t>I: On Historicizing</w:t>
      </w:r>
    </w:p>
    <w:p w14:paraId="1FC6971F" w14:textId="77777777" w:rsidR="00C906DA" w:rsidRDefault="00C906DA" w:rsidP="002F7C3D">
      <w:pPr>
        <w:tabs>
          <w:tab w:val="left" w:pos="1418"/>
        </w:tabs>
        <w:rPr>
          <w:b/>
          <w:color w:val="000000"/>
          <w:sz w:val="22"/>
          <w:szCs w:val="22"/>
        </w:rPr>
      </w:pPr>
    </w:p>
    <w:p w14:paraId="18F8DF2D" w14:textId="13F42888" w:rsidR="00C906DA" w:rsidRPr="00C906DA" w:rsidRDefault="00C906DA" w:rsidP="002F7C3D">
      <w:pPr>
        <w:tabs>
          <w:tab w:val="left" w:pos="1418"/>
        </w:tabs>
        <w:rPr>
          <w:b/>
          <w:sz w:val="22"/>
          <w:szCs w:val="22"/>
        </w:rPr>
      </w:pPr>
      <w:r w:rsidRPr="00C906DA">
        <w:rPr>
          <w:b/>
          <w:color w:val="000000"/>
          <w:sz w:val="22"/>
          <w:szCs w:val="22"/>
        </w:rPr>
        <w:t>‘Slavery &gt; Archive &lt; History’ </w:t>
      </w:r>
    </w:p>
    <w:p w14:paraId="132D1A55" w14:textId="77777777" w:rsidR="00AB59C0" w:rsidRDefault="00AB59C0" w:rsidP="002F7C3D">
      <w:pPr>
        <w:tabs>
          <w:tab w:val="left" w:pos="1418"/>
        </w:tabs>
        <w:rPr>
          <w:sz w:val="22"/>
          <w:szCs w:val="22"/>
        </w:rPr>
      </w:pPr>
    </w:p>
    <w:p w14:paraId="092B335E" w14:textId="321A8A9F" w:rsidR="00C906DA" w:rsidRPr="00AB59C0" w:rsidRDefault="00C906DA" w:rsidP="002F7C3D">
      <w:pPr>
        <w:tabs>
          <w:tab w:val="left" w:pos="1418"/>
        </w:tabs>
        <w:rPr>
          <w:sz w:val="22"/>
          <w:szCs w:val="22"/>
        </w:rPr>
      </w:pPr>
      <w:r w:rsidRPr="00AB59C0">
        <w:rPr>
          <w:sz w:val="22"/>
          <w:szCs w:val="22"/>
        </w:rPr>
        <w:t xml:space="preserve">Christer </w:t>
      </w:r>
      <w:proofErr w:type="spellStart"/>
      <w:r w:rsidRPr="00AB59C0">
        <w:rPr>
          <w:sz w:val="22"/>
          <w:szCs w:val="22"/>
        </w:rPr>
        <w:t>Petley</w:t>
      </w:r>
      <w:proofErr w:type="spellEnd"/>
    </w:p>
    <w:p w14:paraId="3F44B227" w14:textId="169628E2" w:rsidR="00C906DA" w:rsidRPr="00AB59C0" w:rsidRDefault="00C906DA" w:rsidP="002F7C3D">
      <w:pPr>
        <w:tabs>
          <w:tab w:val="left" w:pos="1418"/>
        </w:tabs>
        <w:rPr>
          <w:sz w:val="22"/>
          <w:szCs w:val="22"/>
        </w:rPr>
      </w:pPr>
      <w:r w:rsidRPr="00AB59C0">
        <w:rPr>
          <w:sz w:val="22"/>
          <w:szCs w:val="22"/>
        </w:rPr>
        <w:t>University of Southampton</w:t>
      </w:r>
    </w:p>
    <w:p w14:paraId="629542B6" w14:textId="77777777" w:rsidR="00AB59C0" w:rsidRDefault="00AB59C0" w:rsidP="00C906DA">
      <w:pPr>
        <w:tabs>
          <w:tab w:val="left" w:pos="1418"/>
        </w:tabs>
        <w:rPr>
          <w:sz w:val="22"/>
          <w:szCs w:val="22"/>
        </w:rPr>
      </w:pPr>
    </w:p>
    <w:p w14:paraId="1ED49CBF" w14:textId="77777777" w:rsidR="00C906DA" w:rsidRDefault="00C906DA" w:rsidP="00C906DA">
      <w:pPr>
        <w:tabs>
          <w:tab w:val="left" w:pos="1418"/>
        </w:tabs>
        <w:rPr>
          <w:i/>
          <w:iCs/>
          <w:sz w:val="22"/>
          <w:szCs w:val="22"/>
        </w:rPr>
      </w:pPr>
      <w:r w:rsidRPr="00C906DA">
        <w:rPr>
          <w:sz w:val="22"/>
          <w:szCs w:val="22"/>
        </w:rPr>
        <w:t xml:space="preserve">‘To read the archive is to enter a mortuary; it permits one final viewing and allows for a last glimpse of persons about to disappear into the slave hold.’ </w:t>
      </w:r>
      <w:proofErr w:type="spellStart"/>
      <w:r w:rsidRPr="00C906DA">
        <w:rPr>
          <w:sz w:val="22"/>
          <w:szCs w:val="22"/>
        </w:rPr>
        <w:t>Saidya</w:t>
      </w:r>
      <w:proofErr w:type="spellEnd"/>
      <w:r w:rsidRPr="00C906DA">
        <w:rPr>
          <w:sz w:val="22"/>
          <w:szCs w:val="22"/>
        </w:rPr>
        <w:t xml:space="preserve"> Hartman, </w:t>
      </w:r>
      <w:r w:rsidRPr="00C906DA">
        <w:rPr>
          <w:i/>
          <w:iCs/>
          <w:sz w:val="22"/>
          <w:szCs w:val="22"/>
        </w:rPr>
        <w:t>Lose Your Mother</w:t>
      </w:r>
    </w:p>
    <w:p w14:paraId="22527742" w14:textId="77777777" w:rsidR="00C906DA" w:rsidRPr="00C906DA" w:rsidRDefault="00C906DA" w:rsidP="00C906DA">
      <w:pPr>
        <w:tabs>
          <w:tab w:val="left" w:pos="1418"/>
        </w:tabs>
        <w:rPr>
          <w:sz w:val="22"/>
          <w:szCs w:val="22"/>
        </w:rPr>
      </w:pPr>
    </w:p>
    <w:p w14:paraId="5D8DFD70" w14:textId="77777777" w:rsidR="00C906DA" w:rsidRDefault="00C906DA" w:rsidP="00C906DA">
      <w:pPr>
        <w:tabs>
          <w:tab w:val="left" w:pos="1418"/>
        </w:tabs>
        <w:rPr>
          <w:sz w:val="22"/>
          <w:szCs w:val="22"/>
        </w:rPr>
      </w:pPr>
      <w:r w:rsidRPr="00C906DA">
        <w:rPr>
          <w:sz w:val="22"/>
          <w:szCs w:val="22"/>
        </w:rPr>
        <w:t>‘For as long as it has been a subject of professional scholarship, American slavery has exposed the methodological limits of the discipline of history.’ Stephanie Smallwood, ‘The Politics of the Archive’</w:t>
      </w:r>
    </w:p>
    <w:p w14:paraId="50B5D18D" w14:textId="77777777" w:rsidR="00C906DA" w:rsidRPr="00C906DA" w:rsidRDefault="00C906DA" w:rsidP="00C906DA">
      <w:pPr>
        <w:tabs>
          <w:tab w:val="left" w:pos="1418"/>
        </w:tabs>
        <w:rPr>
          <w:sz w:val="22"/>
          <w:szCs w:val="22"/>
        </w:rPr>
      </w:pPr>
    </w:p>
    <w:p w14:paraId="2B40986A" w14:textId="77777777" w:rsidR="00C906DA" w:rsidRPr="00C906DA" w:rsidRDefault="00C906DA" w:rsidP="00C906DA">
      <w:pPr>
        <w:tabs>
          <w:tab w:val="left" w:pos="1418"/>
        </w:tabs>
        <w:rPr>
          <w:sz w:val="22"/>
          <w:szCs w:val="22"/>
        </w:rPr>
      </w:pPr>
      <w:r w:rsidRPr="00C906DA">
        <w:rPr>
          <w:sz w:val="22"/>
          <w:szCs w:val="22"/>
        </w:rPr>
        <w:t>What can the archive of slavery tell us? Can that archive speak for enslaved people? What dilemmas lie there for historians? Can we represent the archive’s victims? This presentation confronts those questions, working with archival traces of enslaved people forced to live, work, and die on the properties of Simon Taylor (b.1740-d.1813), a rich British sugar planter in the colony of Jamaica. It pokes at issues that haunt and bug me in the afterglow of writing a book—</w:t>
      </w:r>
      <w:r w:rsidRPr="00C906DA">
        <w:rPr>
          <w:i/>
          <w:iCs/>
          <w:sz w:val="22"/>
          <w:szCs w:val="22"/>
        </w:rPr>
        <w:t>White Fury: A Jamaican Slaveholder and the Age of Revolution</w:t>
      </w:r>
      <w:r w:rsidRPr="00C906DA">
        <w:rPr>
          <w:sz w:val="22"/>
          <w:szCs w:val="22"/>
        </w:rPr>
        <w:t>—all about Taylor and his world.</w:t>
      </w:r>
    </w:p>
    <w:p w14:paraId="19AB1F59" w14:textId="77777777" w:rsidR="00C906DA" w:rsidRDefault="00C906DA" w:rsidP="002F7C3D">
      <w:pPr>
        <w:tabs>
          <w:tab w:val="left" w:pos="1418"/>
        </w:tabs>
        <w:rPr>
          <w:b/>
          <w:sz w:val="22"/>
          <w:szCs w:val="22"/>
        </w:rPr>
      </w:pPr>
    </w:p>
    <w:p w14:paraId="3BB03B68" w14:textId="1E4DBA3D" w:rsidR="00C906DA" w:rsidRDefault="00C906DA" w:rsidP="00C906DA">
      <w:pPr>
        <w:jc w:val="both"/>
        <w:rPr>
          <w:b/>
          <w:sz w:val="22"/>
          <w:szCs w:val="22"/>
        </w:rPr>
      </w:pPr>
      <w:r>
        <w:rPr>
          <w:b/>
          <w:sz w:val="22"/>
          <w:szCs w:val="22"/>
        </w:rPr>
        <w:t xml:space="preserve">A noble </w:t>
      </w:r>
      <w:proofErr w:type="gramStart"/>
      <w:r>
        <w:rPr>
          <w:b/>
          <w:sz w:val="22"/>
          <w:szCs w:val="22"/>
        </w:rPr>
        <w:t>dream ?</w:t>
      </w:r>
      <w:proofErr w:type="gramEnd"/>
      <w:r w:rsidRPr="00C906DA">
        <w:rPr>
          <w:b/>
          <w:sz w:val="22"/>
          <w:szCs w:val="22"/>
        </w:rPr>
        <w:t>: Hindustani and Indian Nationalism in the early twentieth century</w:t>
      </w:r>
    </w:p>
    <w:p w14:paraId="2564E8CC" w14:textId="77777777" w:rsidR="00C906DA" w:rsidRPr="00C906DA" w:rsidRDefault="00C906DA" w:rsidP="00C906DA">
      <w:pPr>
        <w:jc w:val="both"/>
        <w:rPr>
          <w:b/>
          <w:sz w:val="22"/>
          <w:szCs w:val="22"/>
        </w:rPr>
      </w:pPr>
    </w:p>
    <w:p w14:paraId="72E3DA32" w14:textId="77777777" w:rsidR="00C906DA" w:rsidRPr="00C906DA" w:rsidRDefault="00C906DA" w:rsidP="00C906DA">
      <w:pPr>
        <w:jc w:val="both"/>
        <w:rPr>
          <w:sz w:val="22"/>
          <w:szCs w:val="22"/>
        </w:rPr>
      </w:pPr>
      <w:proofErr w:type="spellStart"/>
      <w:r w:rsidRPr="00C906DA">
        <w:rPr>
          <w:sz w:val="22"/>
          <w:szCs w:val="22"/>
        </w:rPr>
        <w:t>Pritipuspa</w:t>
      </w:r>
      <w:proofErr w:type="spellEnd"/>
      <w:r w:rsidRPr="00C906DA">
        <w:rPr>
          <w:sz w:val="22"/>
          <w:szCs w:val="22"/>
        </w:rPr>
        <w:t xml:space="preserve"> Mishra</w:t>
      </w:r>
    </w:p>
    <w:p w14:paraId="2A36B311" w14:textId="77777777" w:rsidR="00C906DA" w:rsidRPr="00C906DA" w:rsidRDefault="00C906DA" w:rsidP="00C906DA">
      <w:pPr>
        <w:jc w:val="both"/>
        <w:rPr>
          <w:sz w:val="22"/>
          <w:szCs w:val="22"/>
        </w:rPr>
      </w:pPr>
      <w:r w:rsidRPr="00C906DA">
        <w:rPr>
          <w:sz w:val="22"/>
          <w:szCs w:val="22"/>
        </w:rPr>
        <w:t>University of Southampton</w:t>
      </w:r>
    </w:p>
    <w:p w14:paraId="0F80533E" w14:textId="77777777" w:rsidR="00C906DA" w:rsidRPr="00C906DA" w:rsidRDefault="00C906DA" w:rsidP="00C906DA">
      <w:pPr>
        <w:jc w:val="both"/>
        <w:rPr>
          <w:b/>
          <w:sz w:val="22"/>
          <w:szCs w:val="22"/>
        </w:rPr>
      </w:pPr>
    </w:p>
    <w:p w14:paraId="4906309D" w14:textId="77777777" w:rsidR="00C906DA" w:rsidRDefault="00C906DA" w:rsidP="00C906DA">
      <w:pPr>
        <w:jc w:val="both"/>
        <w:rPr>
          <w:sz w:val="22"/>
          <w:szCs w:val="22"/>
        </w:rPr>
      </w:pPr>
      <w:r w:rsidRPr="00C906DA">
        <w:rPr>
          <w:sz w:val="22"/>
          <w:szCs w:val="22"/>
        </w:rPr>
        <w:t xml:space="preserve">Multilingual diversity was the source of one of the most enduring anxieties in Indian nationalist thought. If one of the primary features of a nation was linguistic unity then how could India, with her many mother tongues, be a nation? If language formed the root of national unity by housing the most essential of national truths, impulses and aspirations then what hope did India have of holding her fragments together as multiple mother tongues whispered diverse aspirations, truths and impulses in her citizen’s ears? This concern about linguistic diversity had a number of significant implications for Indian nationalist thought about language. My paper focuses on one primary implication of this anxiety—the search for a pan Indian language that would bind the nation together- Hindustani. The need for such a language was coupled with a need to bestow on it a historic continuity that would bolster its claims as the museum of the inner life of Indians. As a result, twentieth century nationalist imagination of Hindustani emerged as a paradoxical thing—simultaneously new and ancient. </w:t>
      </w:r>
    </w:p>
    <w:p w14:paraId="0E357744" w14:textId="77777777" w:rsidR="00C906DA" w:rsidRDefault="00C906DA" w:rsidP="00C906DA">
      <w:pPr>
        <w:jc w:val="both"/>
        <w:rPr>
          <w:sz w:val="22"/>
          <w:szCs w:val="22"/>
        </w:rPr>
      </w:pPr>
    </w:p>
    <w:p w14:paraId="16ECB0D0" w14:textId="77777777" w:rsidR="00C906DA" w:rsidRPr="006A2363" w:rsidRDefault="00C906DA" w:rsidP="00C906DA">
      <w:pPr>
        <w:widowControl w:val="0"/>
        <w:autoSpaceDE w:val="0"/>
        <w:autoSpaceDN w:val="0"/>
        <w:adjustRightInd w:val="0"/>
        <w:rPr>
          <w:b/>
          <w:sz w:val="22"/>
          <w:szCs w:val="22"/>
        </w:rPr>
      </w:pPr>
      <w:r w:rsidRPr="006A2363">
        <w:rPr>
          <w:b/>
          <w:sz w:val="22"/>
          <w:szCs w:val="22"/>
        </w:rPr>
        <w:t>Of places past: history and the political in locally produced travel guides in late 20</w:t>
      </w:r>
      <w:r w:rsidRPr="006A2363">
        <w:rPr>
          <w:b/>
          <w:sz w:val="22"/>
          <w:szCs w:val="22"/>
          <w:vertAlign w:val="superscript"/>
        </w:rPr>
        <w:t>th</w:t>
      </w:r>
      <w:r w:rsidRPr="006A2363">
        <w:rPr>
          <w:b/>
          <w:sz w:val="22"/>
          <w:szCs w:val="22"/>
        </w:rPr>
        <w:t xml:space="preserve"> century India – a case study</w:t>
      </w:r>
    </w:p>
    <w:p w14:paraId="1147CF6B" w14:textId="77777777" w:rsidR="00C906DA" w:rsidRPr="006A2363" w:rsidRDefault="00C906DA" w:rsidP="00C906DA">
      <w:pPr>
        <w:widowControl w:val="0"/>
        <w:autoSpaceDE w:val="0"/>
        <w:autoSpaceDN w:val="0"/>
        <w:adjustRightInd w:val="0"/>
        <w:rPr>
          <w:sz w:val="22"/>
          <w:szCs w:val="22"/>
        </w:rPr>
      </w:pPr>
    </w:p>
    <w:p w14:paraId="0D2EE6B5" w14:textId="77777777" w:rsidR="00C906DA" w:rsidRPr="006A2363" w:rsidRDefault="00C906DA" w:rsidP="00C906DA">
      <w:pPr>
        <w:widowControl w:val="0"/>
        <w:autoSpaceDE w:val="0"/>
        <w:autoSpaceDN w:val="0"/>
        <w:adjustRightInd w:val="0"/>
        <w:rPr>
          <w:sz w:val="22"/>
          <w:szCs w:val="22"/>
        </w:rPr>
      </w:pPr>
      <w:r w:rsidRPr="006A2363">
        <w:rPr>
          <w:sz w:val="22"/>
          <w:szCs w:val="22"/>
        </w:rPr>
        <w:t xml:space="preserve">Indra Sengupta </w:t>
      </w:r>
    </w:p>
    <w:p w14:paraId="0AECE3A9" w14:textId="1790B463" w:rsidR="00C906DA" w:rsidRPr="006A2363" w:rsidRDefault="00C906DA" w:rsidP="00C906DA">
      <w:pPr>
        <w:widowControl w:val="0"/>
        <w:autoSpaceDE w:val="0"/>
        <w:autoSpaceDN w:val="0"/>
        <w:adjustRightInd w:val="0"/>
        <w:rPr>
          <w:sz w:val="22"/>
          <w:szCs w:val="22"/>
        </w:rPr>
      </w:pPr>
      <w:r w:rsidRPr="006A2363">
        <w:rPr>
          <w:sz w:val="22"/>
          <w:szCs w:val="22"/>
        </w:rPr>
        <w:t>GHI London</w:t>
      </w:r>
    </w:p>
    <w:p w14:paraId="3CE68F2E" w14:textId="77777777" w:rsidR="00C906DA" w:rsidRPr="006A2363" w:rsidRDefault="00C906DA" w:rsidP="00C906DA">
      <w:pPr>
        <w:rPr>
          <w:sz w:val="22"/>
          <w:szCs w:val="22"/>
        </w:rPr>
      </w:pPr>
    </w:p>
    <w:p w14:paraId="740FA7CE" w14:textId="77777777" w:rsidR="00C906DA" w:rsidRPr="006A2363" w:rsidRDefault="00C906DA" w:rsidP="00C906DA">
      <w:pPr>
        <w:rPr>
          <w:sz w:val="22"/>
          <w:szCs w:val="22"/>
        </w:rPr>
      </w:pPr>
      <w:r w:rsidRPr="006A2363">
        <w:rPr>
          <w:sz w:val="22"/>
          <w:szCs w:val="22"/>
        </w:rPr>
        <w:t xml:space="preserve">This is a brief report on the research we are doing as a part of the International Centre of Advanced Studies: Metamorphosis of the Political in a module called </w:t>
      </w:r>
      <w:r w:rsidRPr="006A2363">
        <w:rPr>
          <w:i/>
          <w:sz w:val="22"/>
          <w:szCs w:val="22"/>
        </w:rPr>
        <w:t>History as a Political Category</w:t>
      </w:r>
      <w:r w:rsidRPr="006A2363">
        <w:rPr>
          <w:sz w:val="22"/>
          <w:szCs w:val="22"/>
        </w:rPr>
        <w:t>. In our sub-</w:t>
      </w:r>
      <w:proofErr w:type="gramStart"/>
      <w:r w:rsidRPr="006A2363">
        <w:rPr>
          <w:sz w:val="22"/>
          <w:szCs w:val="22"/>
        </w:rPr>
        <w:t>project  we</w:t>
      </w:r>
      <w:proofErr w:type="gramEnd"/>
      <w:r w:rsidRPr="006A2363">
        <w:rPr>
          <w:sz w:val="22"/>
          <w:szCs w:val="22"/>
        </w:rPr>
        <w:t xml:space="preserve"> try  to understand the complex relationship between political subjectivities and historical consciousness by looking beyond academic history or wider narratives of national history writing. We focus on a range of sites – selected according to a range of criteria – and analyse narratives of the past that have been produced locally to see how history has reconfigured politics at these sites and vice versa in the course of the 20</w:t>
      </w:r>
      <w:r w:rsidRPr="006A2363">
        <w:rPr>
          <w:sz w:val="22"/>
          <w:szCs w:val="22"/>
          <w:vertAlign w:val="superscript"/>
        </w:rPr>
        <w:t>th</w:t>
      </w:r>
      <w:r w:rsidRPr="006A2363">
        <w:rPr>
          <w:sz w:val="22"/>
          <w:szCs w:val="22"/>
        </w:rPr>
        <w:t xml:space="preserve"> century. My own project deals with locally produced travel guides. In this presentation, I present some of the early, tentative findings based on fieldwork in Murshidabad in Bengal.</w:t>
      </w:r>
    </w:p>
    <w:p w14:paraId="3D6945C8" w14:textId="77777777" w:rsidR="00AB59C0" w:rsidRPr="006A2363" w:rsidRDefault="00AB59C0" w:rsidP="00C906DA">
      <w:pPr>
        <w:rPr>
          <w:sz w:val="22"/>
          <w:szCs w:val="22"/>
        </w:rPr>
      </w:pPr>
    </w:p>
    <w:p w14:paraId="17A590B6" w14:textId="3FD340E5" w:rsidR="00C906DA" w:rsidRPr="006A2363" w:rsidRDefault="00C906DA" w:rsidP="00C906DA">
      <w:pPr>
        <w:rPr>
          <w:b/>
          <w:color w:val="000000"/>
          <w:sz w:val="22"/>
          <w:szCs w:val="22"/>
          <w:u w:val="single"/>
        </w:rPr>
      </w:pPr>
      <w:r w:rsidRPr="006A2363">
        <w:rPr>
          <w:b/>
          <w:color w:val="000000"/>
          <w:sz w:val="22"/>
          <w:szCs w:val="22"/>
          <w:u w:val="single"/>
        </w:rPr>
        <w:t>12.00- 13.00</w:t>
      </w:r>
      <w:r w:rsidRPr="006A2363">
        <w:rPr>
          <w:b/>
          <w:color w:val="000000"/>
          <w:sz w:val="22"/>
          <w:szCs w:val="22"/>
          <w:u w:val="single"/>
        </w:rPr>
        <w:tab/>
        <w:t xml:space="preserve">II: </w:t>
      </w:r>
      <w:r w:rsidRPr="006A2363">
        <w:rPr>
          <w:b/>
          <w:sz w:val="22"/>
          <w:szCs w:val="22"/>
          <w:u w:val="single"/>
        </w:rPr>
        <w:t>Semantics in the Colonial and Post-Colonial Encounter</w:t>
      </w:r>
    </w:p>
    <w:p w14:paraId="342D356F" w14:textId="77777777" w:rsidR="00C906DA" w:rsidRPr="006A2363" w:rsidRDefault="00C906DA" w:rsidP="00C906DA">
      <w:pPr>
        <w:jc w:val="both"/>
        <w:rPr>
          <w:sz w:val="22"/>
          <w:szCs w:val="22"/>
        </w:rPr>
      </w:pPr>
    </w:p>
    <w:p w14:paraId="0D83CEA1" w14:textId="77777777" w:rsidR="00C906DA" w:rsidRPr="006A2363" w:rsidRDefault="00C906DA" w:rsidP="00C906DA">
      <w:pPr>
        <w:jc w:val="both"/>
        <w:rPr>
          <w:sz w:val="22"/>
          <w:szCs w:val="22"/>
        </w:rPr>
      </w:pPr>
      <w:r w:rsidRPr="006A2363">
        <w:rPr>
          <w:sz w:val="22"/>
          <w:szCs w:val="22"/>
        </w:rPr>
        <w:tab/>
      </w:r>
    </w:p>
    <w:p w14:paraId="70D33C05" w14:textId="77777777" w:rsidR="00C906DA" w:rsidRPr="006A2363" w:rsidRDefault="00C906DA" w:rsidP="00C906DA">
      <w:pPr>
        <w:rPr>
          <w:b/>
          <w:color w:val="000000"/>
          <w:sz w:val="22"/>
          <w:szCs w:val="22"/>
        </w:rPr>
      </w:pPr>
      <w:r w:rsidRPr="006A2363">
        <w:rPr>
          <w:b/>
          <w:color w:val="000000"/>
          <w:sz w:val="22"/>
          <w:szCs w:val="22"/>
        </w:rPr>
        <w:t>‘Semantics is always a bitch’: Development and Aid as post-colonial encounter</w:t>
      </w:r>
      <w:r w:rsidRPr="006A2363">
        <w:rPr>
          <w:rStyle w:val="apple-converted-space"/>
          <w:b/>
          <w:color w:val="000000"/>
          <w:sz w:val="22"/>
          <w:szCs w:val="22"/>
        </w:rPr>
        <w:t> </w:t>
      </w:r>
    </w:p>
    <w:p w14:paraId="72B27131" w14:textId="77777777" w:rsidR="00C906DA" w:rsidRPr="006A2363" w:rsidRDefault="00C906DA" w:rsidP="00C906DA">
      <w:pPr>
        <w:rPr>
          <w:color w:val="000000"/>
          <w:sz w:val="22"/>
          <w:szCs w:val="22"/>
        </w:rPr>
      </w:pPr>
      <w:r w:rsidRPr="006A2363">
        <w:rPr>
          <w:color w:val="000000"/>
          <w:sz w:val="22"/>
          <w:szCs w:val="22"/>
        </w:rPr>
        <w:t> </w:t>
      </w:r>
    </w:p>
    <w:p w14:paraId="5FE376DD" w14:textId="685E3BBA" w:rsidR="00C906DA" w:rsidRPr="006A2363" w:rsidRDefault="00C906DA" w:rsidP="00C906DA">
      <w:pPr>
        <w:rPr>
          <w:color w:val="000000"/>
          <w:sz w:val="22"/>
          <w:szCs w:val="22"/>
        </w:rPr>
      </w:pPr>
      <w:r w:rsidRPr="006A2363">
        <w:rPr>
          <w:color w:val="000000"/>
          <w:sz w:val="22"/>
          <w:szCs w:val="22"/>
        </w:rPr>
        <w:t>Charlotte Riley</w:t>
      </w:r>
    </w:p>
    <w:p w14:paraId="7AF01B8F" w14:textId="7C45F182" w:rsidR="00C906DA" w:rsidRPr="006A2363" w:rsidRDefault="00C906DA" w:rsidP="00C906DA">
      <w:pPr>
        <w:rPr>
          <w:color w:val="000000"/>
          <w:sz w:val="22"/>
          <w:szCs w:val="22"/>
        </w:rPr>
      </w:pPr>
      <w:r w:rsidRPr="006A2363">
        <w:rPr>
          <w:color w:val="000000"/>
          <w:sz w:val="22"/>
          <w:szCs w:val="22"/>
        </w:rPr>
        <w:t>University of Southampton</w:t>
      </w:r>
    </w:p>
    <w:p w14:paraId="0ED77F93" w14:textId="77777777" w:rsidR="00C906DA" w:rsidRPr="006A2363" w:rsidRDefault="00C906DA" w:rsidP="00C906DA">
      <w:pPr>
        <w:rPr>
          <w:color w:val="000000"/>
          <w:sz w:val="22"/>
          <w:szCs w:val="22"/>
        </w:rPr>
      </w:pPr>
    </w:p>
    <w:p w14:paraId="42AD5BDD" w14:textId="63E34A6C" w:rsidR="00C906DA" w:rsidRPr="006A2363" w:rsidRDefault="00C906DA" w:rsidP="00C906DA">
      <w:pPr>
        <w:rPr>
          <w:color w:val="000000"/>
          <w:sz w:val="22"/>
          <w:szCs w:val="22"/>
        </w:rPr>
      </w:pPr>
      <w:r w:rsidRPr="006A2363">
        <w:rPr>
          <w:color w:val="000000"/>
          <w:sz w:val="22"/>
          <w:szCs w:val="22"/>
          <w:lang w:val="en-US"/>
        </w:rPr>
        <w:t>‘</w:t>
      </w:r>
      <w:r w:rsidRPr="006A2363">
        <w:rPr>
          <w:color w:val="000000"/>
          <w:sz w:val="22"/>
          <w:szCs w:val="22"/>
          <w:lang w:val="en-US"/>
        </w:rPr>
        <w:t>But still we are victims of word games,</w:t>
      </w:r>
      <w:bookmarkStart w:id="0" w:name="_GoBack"/>
      <w:bookmarkEnd w:id="0"/>
    </w:p>
    <w:p w14:paraId="0FA9F8E4" w14:textId="77777777" w:rsidR="00C906DA" w:rsidRPr="006A2363" w:rsidRDefault="00C906DA" w:rsidP="00C906DA">
      <w:pPr>
        <w:rPr>
          <w:color w:val="000000"/>
          <w:sz w:val="22"/>
          <w:szCs w:val="22"/>
        </w:rPr>
      </w:pPr>
      <w:r w:rsidRPr="006A2363">
        <w:rPr>
          <w:color w:val="000000"/>
          <w:sz w:val="22"/>
          <w:szCs w:val="22"/>
          <w:lang w:val="en-US"/>
        </w:rPr>
        <w:t>semantics is always a bitch:</w:t>
      </w:r>
    </w:p>
    <w:p w14:paraId="06BE00DF" w14:textId="77777777" w:rsidR="00C906DA" w:rsidRPr="006A2363" w:rsidRDefault="00C906DA" w:rsidP="00C906DA">
      <w:pPr>
        <w:rPr>
          <w:color w:val="000000"/>
          <w:sz w:val="22"/>
          <w:szCs w:val="22"/>
        </w:rPr>
      </w:pPr>
      <w:r w:rsidRPr="006A2363">
        <w:rPr>
          <w:color w:val="000000"/>
          <w:sz w:val="22"/>
          <w:szCs w:val="22"/>
          <w:lang w:val="en-US"/>
        </w:rPr>
        <w:t>places once called under-developed and 'backwards'</w:t>
      </w:r>
    </w:p>
    <w:p w14:paraId="42342DC6" w14:textId="77777777" w:rsidR="00C906DA" w:rsidRPr="006A2363" w:rsidRDefault="00C906DA" w:rsidP="00C906DA">
      <w:pPr>
        <w:rPr>
          <w:color w:val="000000"/>
          <w:sz w:val="22"/>
          <w:szCs w:val="22"/>
        </w:rPr>
      </w:pPr>
      <w:r w:rsidRPr="006A2363">
        <w:rPr>
          <w:color w:val="000000"/>
          <w:sz w:val="22"/>
          <w:szCs w:val="22"/>
          <w:lang w:val="en-US"/>
        </w:rPr>
        <w:t>are now called 'mineral rich.'</w:t>
      </w:r>
    </w:p>
    <w:p w14:paraId="66CCD8B3" w14:textId="77777777" w:rsidR="00C906DA" w:rsidRPr="006A2363" w:rsidRDefault="00C906DA" w:rsidP="00C906DA">
      <w:pPr>
        <w:rPr>
          <w:color w:val="000000"/>
          <w:sz w:val="22"/>
          <w:szCs w:val="22"/>
        </w:rPr>
      </w:pPr>
      <w:r w:rsidRPr="006A2363">
        <w:rPr>
          <w:color w:val="000000"/>
          <w:sz w:val="22"/>
          <w:szCs w:val="22"/>
          <w:lang w:val="en-US"/>
        </w:rPr>
        <w:t>- Gil Scott-Heron, ‘Black History’.</w:t>
      </w:r>
    </w:p>
    <w:p w14:paraId="5BA227B6" w14:textId="77777777" w:rsidR="00C906DA" w:rsidRPr="006A2363" w:rsidRDefault="00C906DA" w:rsidP="00C906DA">
      <w:pPr>
        <w:rPr>
          <w:color w:val="000000"/>
          <w:sz w:val="22"/>
          <w:szCs w:val="22"/>
        </w:rPr>
      </w:pPr>
      <w:r w:rsidRPr="006A2363">
        <w:rPr>
          <w:color w:val="000000"/>
          <w:sz w:val="22"/>
          <w:szCs w:val="22"/>
        </w:rPr>
        <w:t> </w:t>
      </w:r>
    </w:p>
    <w:p w14:paraId="76DA6567" w14:textId="77777777" w:rsidR="00C906DA" w:rsidRDefault="00C906DA" w:rsidP="00C906DA">
      <w:pPr>
        <w:rPr>
          <w:rStyle w:val="apple-converted-space"/>
          <w:color w:val="000000"/>
          <w:sz w:val="22"/>
          <w:szCs w:val="22"/>
        </w:rPr>
      </w:pPr>
      <w:r w:rsidRPr="006A2363">
        <w:rPr>
          <w:color w:val="000000"/>
          <w:sz w:val="22"/>
          <w:szCs w:val="22"/>
        </w:rPr>
        <w:t>This paper explores the language and ideology of aid</w:t>
      </w:r>
      <w:r w:rsidRPr="00C906DA">
        <w:rPr>
          <w:color w:val="000000"/>
          <w:sz w:val="22"/>
          <w:szCs w:val="22"/>
        </w:rPr>
        <w:t xml:space="preserve"> and development in the period bridging the late British empire and the new 'post-colonial' Commonwealth. It argues that aid and development was often framed as a 'new' relationship between nations but can in fact be conceptualised as a continuation of colonial relationships between the former metropole and colonies: the 'post-colonial encounter' structured by colonial </w:t>
      </w:r>
      <w:proofErr w:type="spellStart"/>
      <w:r w:rsidRPr="00C906DA">
        <w:rPr>
          <w:color w:val="000000"/>
          <w:sz w:val="22"/>
          <w:szCs w:val="22"/>
        </w:rPr>
        <w:t>heirarchies</w:t>
      </w:r>
      <w:proofErr w:type="spellEnd"/>
      <w:r w:rsidRPr="00C906DA">
        <w:rPr>
          <w:color w:val="000000"/>
          <w:sz w:val="22"/>
          <w:szCs w:val="22"/>
        </w:rPr>
        <w:t>, language and ideologies.</w:t>
      </w:r>
      <w:r w:rsidRPr="00C906DA">
        <w:rPr>
          <w:rStyle w:val="apple-converted-space"/>
          <w:color w:val="000000"/>
          <w:sz w:val="22"/>
          <w:szCs w:val="22"/>
        </w:rPr>
        <w:t> </w:t>
      </w:r>
    </w:p>
    <w:p w14:paraId="21AAFD35" w14:textId="77777777" w:rsidR="00C906DA" w:rsidRDefault="00C906DA" w:rsidP="00C906DA">
      <w:pPr>
        <w:rPr>
          <w:rStyle w:val="apple-converted-space"/>
          <w:color w:val="000000"/>
          <w:sz w:val="22"/>
          <w:szCs w:val="22"/>
        </w:rPr>
      </w:pPr>
    </w:p>
    <w:p w14:paraId="37C0AA47" w14:textId="77777777" w:rsidR="00C906DA" w:rsidRPr="00C906DA" w:rsidRDefault="00C906DA" w:rsidP="00C906DA">
      <w:pPr>
        <w:rPr>
          <w:color w:val="000000"/>
          <w:sz w:val="22"/>
          <w:szCs w:val="22"/>
        </w:rPr>
      </w:pPr>
    </w:p>
    <w:p w14:paraId="33711D06" w14:textId="77777777" w:rsidR="00C906DA" w:rsidRPr="00C906DA" w:rsidRDefault="00C906DA" w:rsidP="00C906DA">
      <w:pPr>
        <w:rPr>
          <w:color w:val="000000"/>
          <w:sz w:val="22"/>
          <w:szCs w:val="22"/>
        </w:rPr>
      </w:pPr>
      <w:r w:rsidRPr="00C906DA">
        <w:rPr>
          <w:color w:val="000000"/>
          <w:sz w:val="22"/>
          <w:szCs w:val="22"/>
        </w:rPr>
        <w:t> </w:t>
      </w:r>
    </w:p>
    <w:p w14:paraId="6B6A6AC2" w14:textId="77777777" w:rsidR="00C906DA" w:rsidRPr="00AB59C0" w:rsidRDefault="00C906DA" w:rsidP="00C906DA">
      <w:pPr>
        <w:rPr>
          <w:b/>
          <w:color w:val="000000"/>
          <w:sz w:val="22"/>
          <w:szCs w:val="22"/>
        </w:rPr>
      </w:pPr>
      <w:r w:rsidRPr="00AB59C0">
        <w:rPr>
          <w:b/>
          <w:color w:val="000000"/>
          <w:sz w:val="22"/>
          <w:szCs w:val="22"/>
        </w:rPr>
        <w:t>'</w:t>
      </w:r>
      <w:proofErr w:type="spellStart"/>
      <w:r w:rsidRPr="00AB59C0">
        <w:rPr>
          <w:b/>
          <w:color w:val="000000"/>
          <w:sz w:val="22"/>
          <w:szCs w:val="22"/>
        </w:rPr>
        <w:t>Invectivity</w:t>
      </w:r>
      <w:proofErr w:type="spellEnd"/>
      <w:r w:rsidRPr="00AB59C0">
        <w:rPr>
          <w:b/>
          <w:color w:val="000000"/>
          <w:sz w:val="22"/>
          <w:szCs w:val="22"/>
        </w:rPr>
        <w:t>' and political mobilisation: Thoughts on two cases from colonial Kenya and Tanzania</w:t>
      </w:r>
    </w:p>
    <w:p w14:paraId="6C8E8D2F" w14:textId="77777777" w:rsidR="00C906DA" w:rsidRPr="00AB59C0" w:rsidRDefault="00C906DA" w:rsidP="00C906DA">
      <w:pPr>
        <w:rPr>
          <w:sz w:val="22"/>
          <w:szCs w:val="22"/>
        </w:rPr>
      </w:pPr>
    </w:p>
    <w:p w14:paraId="3FDEF811" w14:textId="77777777" w:rsidR="00C906DA" w:rsidRPr="00AB59C0" w:rsidRDefault="00C906DA" w:rsidP="00C906DA">
      <w:pPr>
        <w:rPr>
          <w:sz w:val="22"/>
          <w:szCs w:val="22"/>
        </w:rPr>
      </w:pPr>
      <w:r w:rsidRPr="00AB59C0">
        <w:rPr>
          <w:sz w:val="22"/>
          <w:szCs w:val="22"/>
        </w:rPr>
        <w:t xml:space="preserve">Felix </w:t>
      </w:r>
      <w:proofErr w:type="spellStart"/>
      <w:r w:rsidRPr="00AB59C0">
        <w:rPr>
          <w:sz w:val="22"/>
          <w:szCs w:val="22"/>
        </w:rPr>
        <w:t>Brahm</w:t>
      </w:r>
      <w:proofErr w:type="spellEnd"/>
      <w:r w:rsidRPr="00AB59C0">
        <w:rPr>
          <w:sz w:val="22"/>
          <w:szCs w:val="22"/>
        </w:rPr>
        <w:t xml:space="preserve"> </w:t>
      </w:r>
    </w:p>
    <w:p w14:paraId="33CB35E4" w14:textId="5D8EF0D1" w:rsidR="00C906DA" w:rsidRPr="00AB59C0" w:rsidRDefault="00C906DA" w:rsidP="00C906DA">
      <w:pPr>
        <w:rPr>
          <w:sz w:val="22"/>
          <w:szCs w:val="22"/>
        </w:rPr>
      </w:pPr>
      <w:r w:rsidRPr="00AB59C0">
        <w:rPr>
          <w:sz w:val="22"/>
          <w:szCs w:val="22"/>
        </w:rPr>
        <w:t>GHI London</w:t>
      </w:r>
    </w:p>
    <w:p w14:paraId="15DF4260" w14:textId="77777777" w:rsidR="00C906DA" w:rsidRPr="00AB59C0" w:rsidRDefault="00C906DA" w:rsidP="00C906DA">
      <w:pPr>
        <w:rPr>
          <w:sz w:val="22"/>
          <w:szCs w:val="22"/>
        </w:rPr>
      </w:pPr>
    </w:p>
    <w:p w14:paraId="3102087C" w14:textId="77777777" w:rsidR="00C906DA" w:rsidRDefault="00C906DA" w:rsidP="00C906DA">
      <w:pPr>
        <w:rPr>
          <w:sz w:val="22"/>
          <w:szCs w:val="22"/>
        </w:rPr>
      </w:pPr>
      <w:r w:rsidRPr="00AB59C0">
        <w:rPr>
          <w:sz w:val="22"/>
          <w:szCs w:val="22"/>
        </w:rPr>
        <w:t>This paper discusses how far the concept of ‘</w:t>
      </w:r>
      <w:proofErr w:type="spellStart"/>
      <w:r w:rsidRPr="00AB59C0">
        <w:rPr>
          <w:sz w:val="22"/>
          <w:szCs w:val="22"/>
        </w:rPr>
        <w:t>invectivity</w:t>
      </w:r>
      <w:proofErr w:type="spellEnd"/>
      <w:r w:rsidRPr="00AB59C0">
        <w:rPr>
          <w:sz w:val="22"/>
          <w:szCs w:val="22"/>
        </w:rPr>
        <w:t xml:space="preserve">’, developed by a group of researchers at the University of Technology in Dresden, offers new insights into the (post-) colonial encounter. Understood as an </w:t>
      </w:r>
      <w:r w:rsidRPr="00AB59C0">
        <w:rPr>
          <w:color w:val="000000"/>
          <w:sz w:val="22"/>
          <w:szCs w:val="22"/>
        </w:rPr>
        <w:t xml:space="preserve">umbrella term to grasp various phenomena of disparagement, the paper argues that this concept can be useful not only to gain further understanding of the social proximity of racism, but </w:t>
      </w:r>
      <w:r w:rsidRPr="00AB59C0">
        <w:rPr>
          <w:sz w:val="22"/>
          <w:szCs w:val="22"/>
          <w:lang w:val="en-US"/>
        </w:rPr>
        <w:t xml:space="preserve">also of communicative practice within colonial societies more broadly, and of political </w:t>
      </w:r>
      <w:proofErr w:type="spellStart"/>
      <w:r w:rsidRPr="00AB59C0">
        <w:rPr>
          <w:sz w:val="22"/>
          <w:szCs w:val="22"/>
          <w:lang w:val="en-US"/>
        </w:rPr>
        <w:t>mobilisation</w:t>
      </w:r>
      <w:proofErr w:type="spellEnd"/>
      <w:r w:rsidRPr="00AB59C0">
        <w:rPr>
          <w:sz w:val="22"/>
          <w:szCs w:val="22"/>
          <w:lang w:val="en-US"/>
        </w:rPr>
        <w:t xml:space="preserve"> under colonial conditions. </w:t>
      </w:r>
      <w:r w:rsidRPr="00AB59C0">
        <w:rPr>
          <w:sz w:val="22"/>
          <w:szCs w:val="22"/>
        </w:rPr>
        <w:t xml:space="preserve">Drawing on two cases from colonial Kenya and Tanzania – the introduction of the </w:t>
      </w:r>
      <w:proofErr w:type="spellStart"/>
      <w:r w:rsidRPr="00AB59C0">
        <w:rPr>
          <w:i/>
          <w:sz w:val="22"/>
          <w:szCs w:val="22"/>
        </w:rPr>
        <w:t>kipande</w:t>
      </w:r>
      <w:proofErr w:type="spellEnd"/>
      <w:r w:rsidRPr="00AB59C0">
        <w:rPr>
          <w:sz w:val="22"/>
          <w:szCs w:val="22"/>
        </w:rPr>
        <w:t xml:space="preserve"> system in 1919 and the criminal libel case against Julius Nyerere in 1958 – the paper probes into invectives as triggers of political mobilisation and demonstrates how insults and the declaration of being insulted became political instruments that contained destructive as well as provocative and productive potential.</w:t>
      </w:r>
    </w:p>
    <w:p w14:paraId="4457FD07" w14:textId="77777777" w:rsidR="00AB59C0" w:rsidRDefault="00AB59C0" w:rsidP="00C906DA">
      <w:pPr>
        <w:rPr>
          <w:sz w:val="22"/>
          <w:szCs w:val="22"/>
        </w:rPr>
      </w:pPr>
    </w:p>
    <w:p w14:paraId="7E92E0B0" w14:textId="77777777" w:rsidR="00AB59C0" w:rsidRDefault="00AB59C0" w:rsidP="00C906DA">
      <w:pPr>
        <w:rPr>
          <w:sz w:val="22"/>
          <w:szCs w:val="22"/>
        </w:rPr>
      </w:pPr>
    </w:p>
    <w:p w14:paraId="3FDC47A3" w14:textId="3E48CBD6" w:rsidR="00AB59C0" w:rsidRPr="00AB59C0" w:rsidRDefault="00AB59C0" w:rsidP="00C906DA">
      <w:pPr>
        <w:rPr>
          <w:b/>
          <w:color w:val="000000"/>
          <w:sz w:val="22"/>
          <w:szCs w:val="22"/>
          <w:u w:val="single"/>
        </w:rPr>
      </w:pPr>
      <w:r w:rsidRPr="00AB59C0">
        <w:rPr>
          <w:b/>
          <w:color w:val="000000"/>
          <w:sz w:val="22"/>
          <w:szCs w:val="22"/>
          <w:u w:val="single"/>
        </w:rPr>
        <w:t>14.30-15.30</w:t>
      </w:r>
      <w:r w:rsidRPr="00AB59C0">
        <w:rPr>
          <w:b/>
          <w:color w:val="000000"/>
          <w:sz w:val="22"/>
          <w:szCs w:val="22"/>
          <w:u w:val="single"/>
        </w:rPr>
        <w:tab/>
        <w:t>III: Post-Colonial Politics</w:t>
      </w:r>
    </w:p>
    <w:p w14:paraId="3CED2F54" w14:textId="77777777" w:rsidR="00AB59C0" w:rsidRDefault="00AB59C0" w:rsidP="00C906DA">
      <w:pPr>
        <w:rPr>
          <w:b/>
          <w:color w:val="000000"/>
          <w:sz w:val="22"/>
          <w:szCs w:val="22"/>
        </w:rPr>
      </w:pPr>
    </w:p>
    <w:p w14:paraId="5BA4EF42" w14:textId="77777777" w:rsidR="00AB59C0" w:rsidRPr="00AB59C0" w:rsidRDefault="00AB59C0" w:rsidP="00AB59C0">
      <w:pPr>
        <w:rPr>
          <w:b/>
          <w:color w:val="000000"/>
          <w:sz w:val="22"/>
          <w:szCs w:val="22"/>
        </w:rPr>
      </w:pPr>
      <w:r w:rsidRPr="00AB59C0">
        <w:rPr>
          <w:b/>
          <w:color w:val="000000"/>
          <w:sz w:val="22"/>
          <w:szCs w:val="22"/>
        </w:rPr>
        <w:t>Colonial history and Cold War power relations: Elizabeth II’s visits to India, Pakistan (1961) and the US (1976)</w:t>
      </w:r>
    </w:p>
    <w:p w14:paraId="617BA4D2" w14:textId="77777777" w:rsidR="00AB59C0" w:rsidRPr="00AB59C0" w:rsidRDefault="00AB59C0" w:rsidP="00AB59C0">
      <w:pPr>
        <w:rPr>
          <w:b/>
          <w:color w:val="000000"/>
          <w:sz w:val="22"/>
          <w:szCs w:val="22"/>
        </w:rPr>
      </w:pPr>
    </w:p>
    <w:p w14:paraId="4676443D" w14:textId="77777777" w:rsidR="00AB59C0" w:rsidRDefault="00AB59C0" w:rsidP="00AB59C0">
      <w:pPr>
        <w:rPr>
          <w:color w:val="000000"/>
          <w:sz w:val="22"/>
          <w:szCs w:val="22"/>
        </w:rPr>
      </w:pPr>
      <w:proofErr w:type="spellStart"/>
      <w:r>
        <w:rPr>
          <w:color w:val="000000"/>
          <w:sz w:val="22"/>
          <w:szCs w:val="22"/>
        </w:rPr>
        <w:t>Falko</w:t>
      </w:r>
      <w:proofErr w:type="spellEnd"/>
      <w:r>
        <w:rPr>
          <w:color w:val="000000"/>
          <w:sz w:val="22"/>
          <w:szCs w:val="22"/>
        </w:rPr>
        <w:t xml:space="preserve"> </w:t>
      </w:r>
      <w:proofErr w:type="spellStart"/>
      <w:r>
        <w:rPr>
          <w:color w:val="000000"/>
          <w:sz w:val="22"/>
          <w:szCs w:val="22"/>
        </w:rPr>
        <w:t>Schnicke</w:t>
      </w:r>
      <w:proofErr w:type="spellEnd"/>
      <w:r>
        <w:rPr>
          <w:color w:val="000000"/>
          <w:sz w:val="22"/>
          <w:szCs w:val="22"/>
        </w:rPr>
        <w:t xml:space="preserve"> </w:t>
      </w:r>
    </w:p>
    <w:p w14:paraId="5F6EF111" w14:textId="499495DC" w:rsidR="00AB59C0" w:rsidRPr="00AB59C0" w:rsidRDefault="00AB59C0" w:rsidP="00AB59C0">
      <w:pPr>
        <w:rPr>
          <w:color w:val="000000"/>
          <w:sz w:val="22"/>
          <w:szCs w:val="22"/>
        </w:rPr>
      </w:pPr>
      <w:r>
        <w:rPr>
          <w:color w:val="000000"/>
          <w:sz w:val="22"/>
          <w:szCs w:val="22"/>
        </w:rPr>
        <w:t>GHI London</w:t>
      </w:r>
    </w:p>
    <w:p w14:paraId="3E22FEC7" w14:textId="77777777" w:rsidR="00AB59C0" w:rsidRPr="00AB59C0" w:rsidRDefault="00AB59C0" w:rsidP="00AB59C0">
      <w:pPr>
        <w:rPr>
          <w:b/>
          <w:color w:val="000000"/>
          <w:sz w:val="22"/>
          <w:szCs w:val="22"/>
        </w:rPr>
      </w:pPr>
    </w:p>
    <w:p w14:paraId="5F94FDD2" w14:textId="77777777" w:rsidR="00AB59C0" w:rsidRPr="00AB59C0" w:rsidRDefault="00AB59C0" w:rsidP="00AB59C0">
      <w:pPr>
        <w:rPr>
          <w:color w:val="000000"/>
          <w:sz w:val="22"/>
          <w:szCs w:val="22"/>
        </w:rPr>
      </w:pPr>
      <w:r w:rsidRPr="00AB59C0">
        <w:rPr>
          <w:color w:val="000000"/>
          <w:sz w:val="22"/>
          <w:szCs w:val="22"/>
        </w:rPr>
        <w:t xml:space="preserve">It was a special state visit when Queen Elizabeth II embarked for the US in 1976 since it was dedicated to celebrate the United States’ independence from Britain 200 years earlier. The ceremonials reflected that aim by highlighting the success of democracy. It is remarkable how positively the shared history was adopted – especially if compared to other post-colonial visits from the same ear such as the visit to India and Pakistan in 1961. History formed a major aspect of both programmes, yet it played a different role in the mentioned cases since Britain had fundamentally </w:t>
      </w:r>
      <w:r w:rsidRPr="00AB59C0">
        <w:rPr>
          <w:color w:val="000000"/>
          <w:sz w:val="22"/>
          <w:szCs w:val="22"/>
        </w:rPr>
        <w:lastRenderedPageBreak/>
        <w:t>different relations with both countries at the moments the visits took place. This paper will highlight which impact Britain’s (relative) position of strength towards India regarding remembering colonial history had as well as Britain’s position of dependence from the US only a few years later.</w:t>
      </w:r>
    </w:p>
    <w:p w14:paraId="71DA3FD9" w14:textId="77777777" w:rsidR="00AB59C0" w:rsidRPr="00AB59C0" w:rsidRDefault="00AB59C0" w:rsidP="00AB59C0">
      <w:pPr>
        <w:rPr>
          <w:b/>
          <w:color w:val="000000"/>
          <w:sz w:val="22"/>
          <w:szCs w:val="22"/>
        </w:rPr>
      </w:pPr>
    </w:p>
    <w:p w14:paraId="58AF1B53" w14:textId="77777777" w:rsidR="00AB59C0" w:rsidRPr="00AB59C0" w:rsidRDefault="00AB59C0" w:rsidP="00AB59C0">
      <w:pPr>
        <w:rPr>
          <w:b/>
          <w:sz w:val="22"/>
          <w:szCs w:val="22"/>
        </w:rPr>
      </w:pPr>
      <w:r w:rsidRPr="00AB59C0">
        <w:rPr>
          <w:b/>
          <w:sz w:val="22"/>
          <w:szCs w:val="22"/>
        </w:rPr>
        <w:t>Rethinking the 1947 Partition Violence in the Indian Subcontinent</w:t>
      </w:r>
    </w:p>
    <w:p w14:paraId="50B830E5" w14:textId="77777777" w:rsidR="00AB59C0" w:rsidRPr="00AB59C0" w:rsidRDefault="00AB59C0" w:rsidP="00AB59C0">
      <w:pPr>
        <w:jc w:val="center"/>
        <w:rPr>
          <w:b/>
          <w:sz w:val="22"/>
          <w:szCs w:val="22"/>
        </w:rPr>
      </w:pPr>
    </w:p>
    <w:p w14:paraId="453890B1" w14:textId="77777777" w:rsidR="00AB59C0" w:rsidRPr="00AB59C0" w:rsidRDefault="00AB59C0" w:rsidP="00AB59C0">
      <w:pPr>
        <w:rPr>
          <w:sz w:val="22"/>
          <w:szCs w:val="22"/>
        </w:rPr>
      </w:pPr>
      <w:r w:rsidRPr="00AB59C0">
        <w:rPr>
          <w:sz w:val="22"/>
          <w:szCs w:val="22"/>
        </w:rPr>
        <w:t>Ian Talbot</w:t>
      </w:r>
    </w:p>
    <w:p w14:paraId="64ED4A52" w14:textId="79B04DB7" w:rsidR="00AB59C0" w:rsidRPr="00AB59C0" w:rsidRDefault="00AB59C0" w:rsidP="00AB59C0">
      <w:pPr>
        <w:rPr>
          <w:sz w:val="22"/>
          <w:szCs w:val="22"/>
        </w:rPr>
      </w:pPr>
      <w:r w:rsidRPr="00AB59C0">
        <w:rPr>
          <w:sz w:val="22"/>
          <w:szCs w:val="22"/>
        </w:rPr>
        <w:t>University of Southampton</w:t>
      </w:r>
    </w:p>
    <w:p w14:paraId="75272481" w14:textId="77777777" w:rsidR="00AB59C0" w:rsidRPr="00AB59C0" w:rsidRDefault="00AB59C0" w:rsidP="00AB59C0">
      <w:pPr>
        <w:rPr>
          <w:sz w:val="22"/>
          <w:szCs w:val="22"/>
        </w:rPr>
      </w:pPr>
    </w:p>
    <w:p w14:paraId="49DB46C6" w14:textId="7BEA2607" w:rsidR="00AB59C0" w:rsidRDefault="00AB59C0" w:rsidP="00AB59C0">
      <w:pPr>
        <w:rPr>
          <w:sz w:val="22"/>
          <w:szCs w:val="22"/>
        </w:rPr>
      </w:pPr>
      <w:r w:rsidRPr="00AB59C0">
        <w:rPr>
          <w:sz w:val="22"/>
          <w:szCs w:val="22"/>
        </w:rPr>
        <w:t xml:space="preserve">The British departure from India and the creation of Pakistan was accompanied by large scale violence that claimed upwards of a million lives. This paper will examine the characteristics of the Partition-related violence and explain why the Punjab region was at its epicentre of the violence. It will do this by a series of case studies which cover the period from March 1947 until August. This period it will be argued marked a new phase in which episodes of violence differed from earlier communal clashes. The paper will then go on to consider why the partition-related violence in the Punjab has not been addressed in wider studies of </w:t>
      </w:r>
      <w:proofErr w:type="spellStart"/>
      <w:r w:rsidRPr="00AB59C0">
        <w:rPr>
          <w:sz w:val="22"/>
          <w:szCs w:val="22"/>
        </w:rPr>
        <w:t>religio</w:t>
      </w:r>
      <w:proofErr w:type="spellEnd"/>
      <w:r w:rsidRPr="00AB59C0">
        <w:rPr>
          <w:sz w:val="22"/>
          <w:szCs w:val="22"/>
        </w:rPr>
        <w:t xml:space="preserve">-ethnic violence and discuss the appropriateness of conceptualising this in terms of ‘ethnic cleansing’ and genocide. Finally, there will be a consideration of the violence in terms of the comparative work by </w:t>
      </w:r>
      <w:proofErr w:type="spellStart"/>
      <w:r w:rsidRPr="00AB59C0">
        <w:rPr>
          <w:sz w:val="22"/>
          <w:szCs w:val="22"/>
        </w:rPr>
        <w:t>Stathis</w:t>
      </w:r>
      <w:proofErr w:type="spellEnd"/>
      <w:r w:rsidRPr="00AB59C0">
        <w:rPr>
          <w:sz w:val="22"/>
          <w:szCs w:val="22"/>
        </w:rPr>
        <w:t xml:space="preserve"> </w:t>
      </w:r>
      <w:proofErr w:type="spellStart"/>
      <w:r w:rsidRPr="00AB59C0">
        <w:rPr>
          <w:sz w:val="22"/>
          <w:szCs w:val="22"/>
        </w:rPr>
        <w:t>Kalyvas</w:t>
      </w:r>
      <w:proofErr w:type="spellEnd"/>
      <w:r w:rsidRPr="00AB59C0">
        <w:rPr>
          <w:sz w:val="22"/>
          <w:szCs w:val="22"/>
        </w:rPr>
        <w:t xml:space="preserve"> on mass collective violence. </w:t>
      </w:r>
    </w:p>
    <w:p w14:paraId="20265B18" w14:textId="77777777" w:rsidR="006A2363" w:rsidRPr="006A2363" w:rsidRDefault="006A2363" w:rsidP="00AB59C0">
      <w:pPr>
        <w:rPr>
          <w:sz w:val="22"/>
          <w:szCs w:val="22"/>
          <w:u w:val="single"/>
        </w:rPr>
      </w:pPr>
    </w:p>
    <w:p w14:paraId="5CD04A83" w14:textId="4246ED05" w:rsidR="00AB59C0" w:rsidRPr="006A2363" w:rsidRDefault="006A2363" w:rsidP="00AB59C0">
      <w:pPr>
        <w:rPr>
          <w:b/>
          <w:color w:val="000000"/>
          <w:sz w:val="22"/>
          <w:szCs w:val="22"/>
          <w:u w:val="single"/>
        </w:rPr>
      </w:pPr>
      <w:r w:rsidRPr="006A2363">
        <w:rPr>
          <w:b/>
          <w:color w:val="000000"/>
          <w:sz w:val="22"/>
          <w:szCs w:val="22"/>
          <w:u w:val="single"/>
        </w:rPr>
        <w:t>16.00-17.00</w:t>
      </w:r>
      <w:r w:rsidRPr="006A2363">
        <w:rPr>
          <w:b/>
          <w:color w:val="000000"/>
          <w:sz w:val="22"/>
          <w:szCs w:val="22"/>
          <w:u w:val="single"/>
        </w:rPr>
        <w:tab/>
        <w:t>IV: Colonial and Post-Colonial Violence</w:t>
      </w:r>
    </w:p>
    <w:p w14:paraId="723D86CC" w14:textId="77777777" w:rsidR="00AB59C0" w:rsidRPr="006A2363" w:rsidRDefault="00AB59C0" w:rsidP="00C906DA">
      <w:pPr>
        <w:rPr>
          <w:b/>
          <w:color w:val="000000"/>
          <w:sz w:val="22"/>
          <w:szCs w:val="22"/>
        </w:rPr>
      </w:pPr>
    </w:p>
    <w:p w14:paraId="2A5FA3F6" w14:textId="77777777" w:rsidR="006A2363" w:rsidRPr="006A2363" w:rsidRDefault="006A2363" w:rsidP="006A2363">
      <w:pPr>
        <w:rPr>
          <w:b/>
          <w:sz w:val="22"/>
          <w:szCs w:val="22"/>
        </w:rPr>
      </w:pPr>
      <w:r w:rsidRPr="006A2363">
        <w:rPr>
          <w:b/>
          <w:sz w:val="22"/>
          <w:szCs w:val="22"/>
        </w:rPr>
        <w:t>Not very uplifting work’. German officers first encountering and practising colonial violence in East Africa, c. 1890-1907</w:t>
      </w:r>
    </w:p>
    <w:p w14:paraId="3221F0AE" w14:textId="77777777" w:rsidR="006A2363" w:rsidRPr="006A2363" w:rsidRDefault="006A2363" w:rsidP="006A2363">
      <w:pPr>
        <w:rPr>
          <w:sz w:val="22"/>
          <w:szCs w:val="22"/>
        </w:rPr>
      </w:pPr>
    </w:p>
    <w:p w14:paraId="7DE42084" w14:textId="77777777" w:rsidR="006A2363" w:rsidRPr="006A2363" w:rsidRDefault="006A2363" w:rsidP="006A2363">
      <w:pPr>
        <w:rPr>
          <w:sz w:val="22"/>
          <w:szCs w:val="22"/>
        </w:rPr>
      </w:pPr>
      <w:r w:rsidRPr="006A2363">
        <w:rPr>
          <w:sz w:val="22"/>
          <w:szCs w:val="22"/>
        </w:rPr>
        <w:t xml:space="preserve">Tom </w:t>
      </w:r>
      <w:proofErr w:type="spellStart"/>
      <w:r w:rsidRPr="006A2363">
        <w:rPr>
          <w:sz w:val="22"/>
          <w:szCs w:val="22"/>
        </w:rPr>
        <w:t>Menger</w:t>
      </w:r>
      <w:proofErr w:type="spellEnd"/>
      <w:r w:rsidRPr="006A2363">
        <w:rPr>
          <w:sz w:val="22"/>
          <w:szCs w:val="22"/>
        </w:rPr>
        <w:t xml:space="preserve"> </w:t>
      </w:r>
    </w:p>
    <w:p w14:paraId="5B1B14A8" w14:textId="75C4EB28" w:rsidR="006A2363" w:rsidRPr="006A2363" w:rsidRDefault="006A2363" w:rsidP="006A2363">
      <w:pPr>
        <w:rPr>
          <w:sz w:val="22"/>
          <w:szCs w:val="22"/>
        </w:rPr>
      </w:pPr>
      <w:r w:rsidRPr="006A2363">
        <w:rPr>
          <w:sz w:val="22"/>
          <w:szCs w:val="22"/>
        </w:rPr>
        <w:t>Cologne/ London</w:t>
      </w:r>
    </w:p>
    <w:p w14:paraId="38F45BE1" w14:textId="77777777" w:rsidR="006A2363" w:rsidRPr="006A2363" w:rsidRDefault="006A2363" w:rsidP="006A2363">
      <w:pPr>
        <w:rPr>
          <w:sz w:val="22"/>
          <w:szCs w:val="22"/>
        </w:rPr>
      </w:pPr>
    </w:p>
    <w:p w14:paraId="1175A154" w14:textId="77777777" w:rsidR="006A2363" w:rsidRPr="006A2363" w:rsidRDefault="006A2363" w:rsidP="006A2363">
      <w:pPr>
        <w:rPr>
          <w:sz w:val="22"/>
          <w:szCs w:val="22"/>
        </w:rPr>
      </w:pPr>
      <w:r w:rsidRPr="006A2363">
        <w:rPr>
          <w:sz w:val="22"/>
          <w:szCs w:val="22"/>
        </w:rPr>
        <w:t xml:space="preserve">With Michel Foucault in general, and Norbert Elias and Mark </w:t>
      </w:r>
      <w:proofErr w:type="spellStart"/>
      <w:r w:rsidRPr="006A2363">
        <w:rPr>
          <w:sz w:val="22"/>
          <w:szCs w:val="22"/>
        </w:rPr>
        <w:t>Hewitson</w:t>
      </w:r>
      <w:proofErr w:type="spellEnd"/>
      <w:r w:rsidRPr="006A2363">
        <w:rPr>
          <w:sz w:val="22"/>
          <w:szCs w:val="22"/>
        </w:rPr>
        <w:t xml:space="preserve"> specifically for the German case, one could argue that by the end of the nineteenth century, the sight and experience of physical violence had become rare in the Western European public sphere. For those who first came to the colonial world and were thus confronted with its pervasive presence of physical violence – from corporeal punishment to colonial warfare – this must have been a novel experience. This paper, based on a number of ego-documents from the colony of German East Africa, takes a closer look at how German soldiers reacted to, and dealt with, this experience, and what this can tell us about attitudes to violence and whether there was anything specifically colonial about this.</w:t>
      </w:r>
    </w:p>
    <w:p w14:paraId="1E967234" w14:textId="77777777" w:rsidR="00C906DA" w:rsidRDefault="00C906DA" w:rsidP="002F7C3D">
      <w:pPr>
        <w:tabs>
          <w:tab w:val="left" w:pos="1418"/>
        </w:tabs>
        <w:rPr>
          <w:b/>
          <w:sz w:val="22"/>
          <w:szCs w:val="22"/>
        </w:rPr>
      </w:pPr>
    </w:p>
    <w:p w14:paraId="0B0CCB20" w14:textId="258BD9BA" w:rsidR="006A2363" w:rsidRPr="006A2363" w:rsidRDefault="006A2363" w:rsidP="006A2363">
      <w:pPr>
        <w:tabs>
          <w:tab w:val="left" w:pos="1418"/>
        </w:tabs>
        <w:rPr>
          <w:b/>
          <w:sz w:val="22"/>
          <w:szCs w:val="22"/>
        </w:rPr>
      </w:pPr>
      <w:r w:rsidRPr="006A2363">
        <w:rPr>
          <w:b/>
          <w:sz w:val="22"/>
          <w:szCs w:val="22"/>
        </w:rPr>
        <w:t>Fighting the good fight? African violence and the British (post)colonial encounter in the 1960s</w:t>
      </w:r>
    </w:p>
    <w:p w14:paraId="0BB36303" w14:textId="77777777" w:rsidR="006A2363" w:rsidRDefault="006A2363" w:rsidP="002F7C3D">
      <w:pPr>
        <w:tabs>
          <w:tab w:val="left" w:pos="1418"/>
        </w:tabs>
        <w:rPr>
          <w:b/>
          <w:sz w:val="22"/>
          <w:szCs w:val="22"/>
        </w:rPr>
      </w:pPr>
    </w:p>
    <w:p w14:paraId="012C814D" w14:textId="36AE43AB" w:rsidR="006A2363" w:rsidRPr="006A2363" w:rsidRDefault="006A2363" w:rsidP="002F7C3D">
      <w:pPr>
        <w:tabs>
          <w:tab w:val="left" w:pos="1418"/>
        </w:tabs>
        <w:rPr>
          <w:sz w:val="22"/>
          <w:szCs w:val="22"/>
        </w:rPr>
      </w:pPr>
      <w:r w:rsidRPr="006A2363">
        <w:rPr>
          <w:sz w:val="22"/>
          <w:szCs w:val="22"/>
        </w:rPr>
        <w:t>Chris Prior</w:t>
      </w:r>
    </w:p>
    <w:p w14:paraId="12287F74" w14:textId="3C808CA9" w:rsidR="006A2363" w:rsidRPr="006A2363" w:rsidRDefault="006A2363" w:rsidP="002F7C3D">
      <w:pPr>
        <w:tabs>
          <w:tab w:val="left" w:pos="1418"/>
        </w:tabs>
        <w:rPr>
          <w:sz w:val="22"/>
          <w:szCs w:val="22"/>
        </w:rPr>
      </w:pPr>
      <w:r w:rsidRPr="006A2363">
        <w:rPr>
          <w:sz w:val="22"/>
          <w:szCs w:val="22"/>
        </w:rPr>
        <w:t>University of Southampton</w:t>
      </w:r>
    </w:p>
    <w:p w14:paraId="41DFA9C4" w14:textId="77777777" w:rsidR="006A2363" w:rsidRDefault="006A2363" w:rsidP="002F7C3D">
      <w:pPr>
        <w:tabs>
          <w:tab w:val="left" w:pos="1418"/>
        </w:tabs>
        <w:rPr>
          <w:b/>
          <w:sz w:val="22"/>
          <w:szCs w:val="22"/>
        </w:rPr>
      </w:pPr>
    </w:p>
    <w:p w14:paraId="04FDD87B" w14:textId="77777777" w:rsidR="006A2363" w:rsidRPr="006A2363" w:rsidRDefault="006A2363" w:rsidP="006A2363">
      <w:pPr>
        <w:tabs>
          <w:tab w:val="left" w:pos="1418"/>
        </w:tabs>
        <w:rPr>
          <w:sz w:val="22"/>
          <w:szCs w:val="22"/>
        </w:rPr>
      </w:pPr>
      <w:r w:rsidRPr="006A2363">
        <w:rPr>
          <w:sz w:val="22"/>
          <w:szCs w:val="22"/>
        </w:rPr>
        <w:t>This paper will examine British responses to violence and the threat of violence in 1960s Africa, and what these can tell us about the extent to which colonial modes of thinking continued to shape postcolonial foreign policy outcomes at a time when London was ostensibly fashioning new forms of statecraft.</w:t>
      </w:r>
    </w:p>
    <w:p w14:paraId="700730AA" w14:textId="77777777" w:rsidR="006A2363" w:rsidRPr="00AB59C0" w:rsidRDefault="006A2363" w:rsidP="002F7C3D">
      <w:pPr>
        <w:tabs>
          <w:tab w:val="left" w:pos="1418"/>
        </w:tabs>
        <w:rPr>
          <w:b/>
          <w:sz w:val="22"/>
          <w:szCs w:val="22"/>
        </w:rPr>
      </w:pPr>
    </w:p>
    <w:sectPr w:rsidR="006A2363" w:rsidRPr="00AB59C0" w:rsidSect="005A46CF">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t7Q0NjYwNzYzsDAzMjBS0lEKTi0uzszPAykwqgUAMRacAywAAAA="/>
  </w:docVars>
  <w:rsids>
    <w:rsidRoot w:val="006A154A"/>
    <w:rsid w:val="00083558"/>
    <w:rsid w:val="002E5D18"/>
    <w:rsid w:val="002F7C3D"/>
    <w:rsid w:val="004C0929"/>
    <w:rsid w:val="00576342"/>
    <w:rsid w:val="005A46CF"/>
    <w:rsid w:val="0063567A"/>
    <w:rsid w:val="006A154A"/>
    <w:rsid w:val="006A2363"/>
    <w:rsid w:val="008A6BFA"/>
    <w:rsid w:val="00922DA7"/>
    <w:rsid w:val="00971C59"/>
    <w:rsid w:val="00A56C25"/>
    <w:rsid w:val="00AB59C0"/>
    <w:rsid w:val="00BD156B"/>
    <w:rsid w:val="00C906DA"/>
    <w:rsid w:val="00DF2767"/>
    <w:rsid w:val="00E536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F72AB"/>
  <w14:defaultImageDpi w14:val="330"/>
  <w15:docId w15:val="{BDB9B558-489B-4C54-BFE2-E92AA2FD0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906DA"/>
    <w:rPr>
      <w:rFonts w:ascii="Times New Roman" w:eastAsia="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A154A"/>
  </w:style>
  <w:style w:type="character" w:styleId="CommentReference">
    <w:name w:val="annotation reference"/>
    <w:basedOn w:val="DefaultParagraphFont"/>
    <w:uiPriority w:val="99"/>
    <w:semiHidden/>
    <w:unhideWhenUsed/>
    <w:rsid w:val="006A154A"/>
    <w:rPr>
      <w:sz w:val="16"/>
      <w:szCs w:val="16"/>
    </w:rPr>
  </w:style>
  <w:style w:type="paragraph" w:styleId="CommentText">
    <w:name w:val="annotation text"/>
    <w:basedOn w:val="Normal"/>
    <w:link w:val="CommentTextChar"/>
    <w:uiPriority w:val="99"/>
    <w:semiHidden/>
    <w:unhideWhenUsed/>
    <w:rsid w:val="006A154A"/>
    <w:rPr>
      <w:sz w:val="20"/>
      <w:szCs w:val="20"/>
    </w:rPr>
  </w:style>
  <w:style w:type="character" w:customStyle="1" w:styleId="CommentTextChar">
    <w:name w:val="Comment Text Char"/>
    <w:basedOn w:val="DefaultParagraphFont"/>
    <w:link w:val="CommentText"/>
    <w:uiPriority w:val="99"/>
    <w:semiHidden/>
    <w:rsid w:val="006A154A"/>
    <w:rPr>
      <w:sz w:val="20"/>
      <w:szCs w:val="20"/>
    </w:rPr>
  </w:style>
  <w:style w:type="paragraph" w:styleId="CommentSubject">
    <w:name w:val="annotation subject"/>
    <w:basedOn w:val="CommentText"/>
    <w:next w:val="CommentText"/>
    <w:link w:val="CommentSubjectChar"/>
    <w:uiPriority w:val="99"/>
    <w:semiHidden/>
    <w:unhideWhenUsed/>
    <w:rsid w:val="006A154A"/>
    <w:rPr>
      <w:b/>
      <w:bCs/>
    </w:rPr>
  </w:style>
  <w:style w:type="character" w:customStyle="1" w:styleId="CommentSubjectChar">
    <w:name w:val="Comment Subject Char"/>
    <w:basedOn w:val="CommentTextChar"/>
    <w:link w:val="CommentSubject"/>
    <w:uiPriority w:val="99"/>
    <w:semiHidden/>
    <w:rsid w:val="006A154A"/>
    <w:rPr>
      <w:b/>
      <w:bCs/>
      <w:sz w:val="20"/>
      <w:szCs w:val="20"/>
    </w:rPr>
  </w:style>
  <w:style w:type="paragraph" w:styleId="BalloonText">
    <w:name w:val="Balloon Text"/>
    <w:basedOn w:val="Normal"/>
    <w:link w:val="BalloonTextChar"/>
    <w:uiPriority w:val="99"/>
    <w:semiHidden/>
    <w:unhideWhenUsed/>
    <w:rsid w:val="006A154A"/>
    <w:rPr>
      <w:sz w:val="18"/>
      <w:szCs w:val="18"/>
    </w:rPr>
  </w:style>
  <w:style w:type="character" w:customStyle="1" w:styleId="BalloonTextChar">
    <w:name w:val="Balloon Text Char"/>
    <w:basedOn w:val="DefaultParagraphFont"/>
    <w:link w:val="BalloonText"/>
    <w:uiPriority w:val="99"/>
    <w:semiHidden/>
    <w:rsid w:val="006A154A"/>
    <w:rPr>
      <w:rFonts w:ascii="Times New Roman" w:hAnsi="Times New Roman" w:cs="Times New Roman"/>
      <w:sz w:val="18"/>
      <w:szCs w:val="18"/>
    </w:rPr>
  </w:style>
  <w:style w:type="paragraph" w:customStyle="1" w:styleId="Default">
    <w:name w:val="Default"/>
    <w:rsid w:val="00BD156B"/>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184960">
      <w:bodyDiv w:val="1"/>
      <w:marLeft w:val="0"/>
      <w:marRight w:val="0"/>
      <w:marTop w:val="0"/>
      <w:marBottom w:val="0"/>
      <w:divBdr>
        <w:top w:val="none" w:sz="0" w:space="0" w:color="auto"/>
        <w:left w:val="none" w:sz="0" w:space="0" w:color="auto"/>
        <w:bottom w:val="none" w:sz="0" w:space="0" w:color="auto"/>
        <w:right w:val="none" w:sz="0" w:space="0" w:color="auto"/>
      </w:divBdr>
    </w:div>
    <w:div w:id="91244335">
      <w:bodyDiv w:val="1"/>
      <w:marLeft w:val="0"/>
      <w:marRight w:val="0"/>
      <w:marTop w:val="0"/>
      <w:marBottom w:val="0"/>
      <w:divBdr>
        <w:top w:val="none" w:sz="0" w:space="0" w:color="auto"/>
        <w:left w:val="none" w:sz="0" w:space="0" w:color="auto"/>
        <w:bottom w:val="none" w:sz="0" w:space="0" w:color="auto"/>
        <w:right w:val="none" w:sz="0" w:space="0" w:color="auto"/>
      </w:divBdr>
    </w:div>
    <w:div w:id="563838350">
      <w:bodyDiv w:val="1"/>
      <w:marLeft w:val="0"/>
      <w:marRight w:val="0"/>
      <w:marTop w:val="0"/>
      <w:marBottom w:val="0"/>
      <w:divBdr>
        <w:top w:val="none" w:sz="0" w:space="0" w:color="auto"/>
        <w:left w:val="none" w:sz="0" w:space="0" w:color="auto"/>
        <w:bottom w:val="none" w:sz="0" w:space="0" w:color="auto"/>
        <w:right w:val="none" w:sz="0" w:space="0" w:color="auto"/>
      </w:divBdr>
    </w:div>
    <w:div w:id="890769848">
      <w:bodyDiv w:val="1"/>
      <w:marLeft w:val="0"/>
      <w:marRight w:val="0"/>
      <w:marTop w:val="0"/>
      <w:marBottom w:val="0"/>
      <w:divBdr>
        <w:top w:val="none" w:sz="0" w:space="0" w:color="auto"/>
        <w:left w:val="none" w:sz="0" w:space="0" w:color="auto"/>
        <w:bottom w:val="none" w:sz="0" w:space="0" w:color="auto"/>
        <w:right w:val="none" w:sz="0" w:space="0" w:color="auto"/>
      </w:divBdr>
    </w:div>
    <w:div w:id="1022367269">
      <w:bodyDiv w:val="1"/>
      <w:marLeft w:val="0"/>
      <w:marRight w:val="0"/>
      <w:marTop w:val="0"/>
      <w:marBottom w:val="0"/>
      <w:divBdr>
        <w:top w:val="none" w:sz="0" w:space="0" w:color="auto"/>
        <w:left w:val="none" w:sz="0" w:space="0" w:color="auto"/>
        <w:bottom w:val="none" w:sz="0" w:space="0" w:color="auto"/>
        <w:right w:val="none" w:sz="0" w:space="0" w:color="auto"/>
      </w:divBdr>
    </w:div>
    <w:div w:id="1039160575">
      <w:bodyDiv w:val="1"/>
      <w:marLeft w:val="0"/>
      <w:marRight w:val="0"/>
      <w:marTop w:val="0"/>
      <w:marBottom w:val="0"/>
      <w:divBdr>
        <w:top w:val="none" w:sz="0" w:space="0" w:color="auto"/>
        <w:left w:val="none" w:sz="0" w:space="0" w:color="auto"/>
        <w:bottom w:val="none" w:sz="0" w:space="0" w:color="auto"/>
        <w:right w:val="none" w:sz="0" w:space="0" w:color="auto"/>
      </w:divBdr>
    </w:div>
    <w:div w:id="1067074404">
      <w:bodyDiv w:val="1"/>
      <w:marLeft w:val="0"/>
      <w:marRight w:val="0"/>
      <w:marTop w:val="0"/>
      <w:marBottom w:val="0"/>
      <w:divBdr>
        <w:top w:val="none" w:sz="0" w:space="0" w:color="auto"/>
        <w:left w:val="none" w:sz="0" w:space="0" w:color="auto"/>
        <w:bottom w:val="none" w:sz="0" w:space="0" w:color="auto"/>
        <w:right w:val="none" w:sz="0" w:space="0" w:color="auto"/>
      </w:divBdr>
    </w:div>
    <w:div w:id="1192691839">
      <w:bodyDiv w:val="1"/>
      <w:marLeft w:val="0"/>
      <w:marRight w:val="0"/>
      <w:marTop w:val="0"/>
      <w:marBottom w:val="0"/>
      <w:divBdr>
        <w:top w:val="none" w:sz="0" w:space="0" w:color="auto"/>
        <w:left w:val="none" w:sz="0" w:space="0" w:color="auto"/>
        <w:bottom w:val="none" w:sz="0" w:space="0" w:color="auto"/>
        <w:right w:val="none" w:sz="0" w:space="0" w:color="auto"/>
      </w:divBdr>
    </w:div>
    <w:div w:id="1572617720">
      <w:bodyDiv w:val="1"/>
      <w:marLeft w:val="0"/>
      <w:marRight w:val="0"/>
      <w:marTop w:val="0"/>
      <w:marBottom w:val="0"/>
      <w:divBdr>
        <w:top w:val="none" w:sz="0" w:space="0" w:color="auto"/>
        <w:left w:val="none" w:sz="0" w:space="0" w:color="auto"/>
        <w:bottom w:val="none" w:sz="0" w:space="0" w:color="auto"/>
        <w:right w:val="none" w:sz="0" w:space="0" w:color="auto"/>
      </w:divBdr>
    </w:div>
    <w:div w:id="1829176913">
      <w:bodyDiv w:val="1"/>
      <w:marLeft w:val="0"/>
      <w:marRight w:val="0"/>
      <w:marTop w:val="0"/>
      <w:marBottom w:val="0"/>
      <w:divBdr>
        <w:top w:val="none" w:sz="0" w:space="0" w:color="auto"/>
        <w:left w:val="none" w:sz="0" w:space="0" w:color="auto"/>
        <w:bottom w:val="none" w:sz="0" w:space="0" w:color="auto"/>
        <w:right w:val="none" w:sz="0" w:space="0" w:color="auto"/>
      </w:divBdr>
    </w:div>
    <w:div w:id="1849246529">
      <w:bodyDiv w:val="1"/>
      <w:marLeft w:val="0"/>
      <w:marRight w:val="0"/>
      <w:marTop w:val="0"/>
      <w:marBottom w:val="0"/>
      <w:divBdr>
        <w:top w:val="none" w:sz="0" w:space="0" w:color="auto"/>
        <w:left w:val="none" w:sz="0" w:space="0" w:color="auto"/>
        <w:bottom w:val="none" w:sz="0" w:space="0" w:color="auto"/>
        <w:right w:val="none" w:sz="0" w:space="0" w:color="auto"/>
      </w:divBdr>
    </w:div>
    <w:div w:id="1982037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ED0C1D-09B5-F746-8051-AF1748DAF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1535</Words>
  <Characters>8750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2</cp:revision>
  <dcterms:created xsi:type="dcterms:W3CDTF">2018-09-09T10:53:00Z</dcterms:created>
  <dcterms:modified xsi:type="dcterms:W3CDTF">2018-09-09T10:53:00Z</dcterms:modified>
</cp:coreProperties>
</file>